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6E" w:rsidRPr="009B71B8" w:rsidRDefault="009868D5" w:rsidP="004B766E">
      <w:pPr>
        <w:jc w:val="center"/>
        <w:rPr>
          <w:bCs/>
          <w:iCs/>
          <w:noProof/>
          <w:kern w:val="20"/>
          <w:lang w:val="id-ID"/>
        </w:rPr>
      </w:pPr>
      <w:r w:rsidRPr="009B71B8">
        <w:rPr>
          <w:b/>
          <w:bCs/>
          <w:iCs/>
          <w:caps/>
          <w:noProof/>
          <w:kern w:val="20"/>
          <w:lang w:val="id-ID"/>
        </w:rPr>
        <w:t xml:space="preserve">Karakteristik Potensi Angin </w:t>
      </w:r>
      <w:r w:rsidR="006350D6" w:rsidRPr="009B71B8">
        <w:rPr>
          <w:b/>
          <w:bCs/>
          <w:iCs/>
          <w:caps/>
          <w:noProof/>
          <w:kern w:val="20"/>
          <w:lang w:val="id-ID"/>
        </w:rPr>
        <w:t xml:space="preserve">Sebagai Sumber Energi Terbarukan </w:t>
      </w:r>
      <w:r w:rsidR="00C2250A" w:rsidRPr="009B71B8">
        <w:rPr>
          <w:b/>
          <w:bCs/>
          <w:iCs/>
          <w:caps/>
          <w:noProof/>
          <w:kern w:val="20"/>
          <w:lang w:val="id-ID"/>
        </w:rPr>
        <w:t xml:space="preserve">DI Indonesia </w:t>
      </w:r>
      <w:r w:rsidRPr="009B71B8">
        <w:rPr>
          <w:b/>
          <w:bCs/>
          <w:iCs/>
          <w:caps/>
          <w:noProof/>
          <w:kern w:val="20"/>
          <w:lang w:val="id-ID"/>
        </w:rPr>
        <w:t xml:space="preserve">Dari </w:t>
      </w:r>
      <w:r w:rsidR="001B7AA8" w:rsidRPr="009B71B8">
        <w:rPr>
          <w:b/>
          <w:bCs/>
          <w:iCs/>
          <w:caps/>
          <w:noProof/>
          <w:kern w:val="20"/>
          <w:lang w:val="id-ID"/>
        </w:rPr>
        <w:t xml:space="preserve">DATA </w:t>
      </w:r>
      <w:r w:rsidRPr="009B71B8">
        <w:rPr>
          <w:b/>
          <w:bCs/>
          <w:iCs/>
          <w:caps/>
          <w:noProof/>
          <w:kern w:val="20"/>
          <w:lang w:val="id-ID"/>
        </w:rPr>
        <w:t>Satelit Remote Sensing</w:t>
      </w:r>
    </w:p>
    <w:p w:rsidR="004B766E" w:rsidRPr="009B71B8" w:rsidRDefault="004B766E" w:rsidP="007B650F">
      <w:pPr>
        <w:jc w:val="center"/>
        <w:rPr>
          <w:bCs/>
          <w:iCs/>
          <w:noProof/>
          <w:kern w:val="20"/>
          <w:lang w:val="id-ID"/>
        </w:rPr>
      </w:pPr>
    </w:p>
    <w:p w:rsidR="004B766E" w:rsidRPr="009B71B8" w:rsidRDefault="007B650F" w:rsidP="004B766E">
      <w:pPr>
        <w:jc w:val="center"/>
        <w:rPr>
          <w:b/>
          <w:noProof/>
          <w:lang w:val="id-ID"/>
        </w:rPr>
      </w:pPr>
      <w:r w:rsidRPr="009B71B8">
        <w:rPr>
          <w:b/>
          <w:noProof/>
          <w:lang w:val="id-ID"/>
        </w:rPr>
        <w:t>I Ketut Swardika</w:t>
      </w:r>
      <w:r w:rsidR="004B766E" w:rsidRPr="009B71B8">
        <w:rPr>
          <w:b/>
          <w:noProof/>
          <w:lang w:val="id-ID"/>
        </w:rPr>
        <w:t xml:space="preserve">, </w:t>
      </w:r>
      <w:r w:rsidRPr="009B71B8">
        <w:rPr>
          <w:b/>
          <w:noProof/>
          <w:lang w:val="id-ID"/>
        </w:rPr>
        <w:t>Putri Alit Widyastuti Santiary</w:t>
      </w:r>
    </w:p>
    <w:p w:rsidR="004B766E" w:rsidRPr="009B71B8" w:rsidRDefault="004B766E" w:rsidP="004B766E">
      <w:pPr>
        <w:jc w:val="center"/>
        <w:rPr>
          <w:bCs/>
          <w:iCs/>
          <w:noProof/>
          <w:kern w:val="20"/>
          <w:lang w:val="id-ID"/>
        </w:rPr>
      </w:pPr>
    </w:p>
    <w:p w:rsidR="004B766E" w:rsidRPr="009B71B8" w:rsidRDefault="007B650F" w:rsidP="004B766E">
      <w:pPr>
        <w:jc w:val="center"/>
        <w:rPr>
          <w:noProof/>
          <w:lang w:val="id-ID"/>
        </w:rPr>
      </w:pPr>
      <w:r w:rsidRPr="009B71B8">
        <w:rPr>
          <w:noProof/>
          <w:lang w:val="id-ID"/>
        </w:rPr>
        <w:t>Teknik Elektro</w:t>
      </w:r>
      <w:r w:rsidR="004B766E" w:rsidRPr="009B71B8">
        <w:rPr>
          <w:noProof/>
          <w:lang w:val="id-ID"/>
        </w:rPr>
        <w:t xml:space="preserve">, </w:t>
      </w:r>
      <w:r w:rsidRPr="009B71B8">
        <w:rPr>
          <w:noProof/>
          <w:lang w:val="id-ID"/>
        </w:rPr>
        <w:t>Politeknik Negeri Bali</w:t>
      </w:r>
      <w:r w:rsidR="004B766E" w:rsidRPr="009B71B8">
        <w:rPr>
          <w:noProof/>
          <w:lang w:val="id-ID"/>
        </w:rPr>
        <w:t xml:space="preserve">, </w:t>
      </w:r>
      <w:r w:rsidRPr="009B71B8">
        <w:rPr>
          <w:noProof/>
          <w:lang w:val="id-ID"/>
        </w:rPr>
        <w:t>Bukit Jimbaran</w:t>
      </w:r>
      <w:r w:rsidR="004B766E" w:rsidRPr="009B71B8">
        <w:rPr>
          <w:noProof/>
          <w:lang w:val="id-ID"/>
        </w:rPr>
        <w:t xml:space="preserve">, </w:t>
      </w:r>
      <w:r w:rsidR="004B1DB4" w:rsidRPr="009B71B8">
        <w:rPr>
          <w:noProof/>
          <w:lang w:val="id-ID"/>
        </w:rPr>
        <w:t>Kuta Selatan</w:t>
      </w:r>
      <w:r w:rsidR="004B766E" w:rsidRPr="009B71B8">
        <w:rPr>
          <w:noProof/>
          <w:lang w:val="id-ID"/>
        </w:rPr>
        <w:t xml:space="preserve">, </w:t>
      </w:r>
      <w:r w:rsidR="004B1DB4" w:rsidRPr="009B71B8">
        <w:rPr>
          <w:noProof/>
          <w:lang w:val="id-ID"/>
        </w:rPr>
        <w:t>80364</w:t>
      </w:r>
    </w:p>
    <w:p w:rsidR="004B766E" w:rsidRPr="009B71B8" w:rsidRDefault="004B766E" w:rsidP="004B766E">
      <w:pPr>
        <w:jc w:val="center"/>
        <w:rPr>
          <w:noProof/>
          <w:lang w:val="id-ID"/>
        </w:rPr>
      </w:pPr>
      <w:r w:rsidRPr="009B71B8">
        <w:rPr>
          <w:noProof/>
          <w:lang w:val="id-ID"/>
        </w:rPr>
        <w:t xml:space="preserve">E-mail: </w:t>
      </w:r>
      <w:r w:rsidR="00C66D15" w:rsidRPr="009B71B8">
        <w:rPr>
          <w:noProof/>
          <w:lang w:val="id-ID"/>
        </w:rPr>
        <w:t>swardika</w:t>
      </w:r>
      <w:r w:rsidRPr="009B71B8">
        <w:rPr>
          <w:noProof/>
          <w:lang w:val="id-ID"/>
        </w:rPr>
        <w:t>@</w:t>
      </w:r>
      <w:r w:rsidR="00C66D15" w:rsidRPr="009B71B8">
        <w:rPr>
          <w:noProof/>
          <w:lang w:val="id-ID"/>
        </w:rPr>
        <w:t>pnb.ac.id</w:t>
      </w:r>
    </w:p>
    <w:p w:rsidR="004B766E" w:rsidRPr="009B71B8" w:rsidRDefault="004B766E" w:rsidP="004B766E">
      <w:pPr>
        <w:jc w:val="center"/>
        <w:rPr>
          <w:bCs/>
          <w:iCs/>
          <w:noProof/>
          <w:kern w:val="20"/>
          <w:lang w:val="id-ID"/>
        </w:rPr>
      </w:pPr>
    </w:p>
    <w:p w:rsidR="004B766E" w:rsidRPr="009B71B8" w:rsidRDefault="004B766E" w:rsidP="004B766E">
      <w:pPr>
        <w:jc w:val="center"/>
        <w:rPr>
          <w:b/>
          <w:noProof/>
          <w:sz w:val="20"/>
          <w:szCs w:val="20"/>
          <w:lang w:val="id-ID"/>
        </w:rPr>
      </w:pPr>
      <w:r w:rsidRPr="009B71B8">
        <w:rPr>
          <w:b/>
          <w:noProof/>
          <w:sz w:val="20"/>
          <w:szCs w:val="20"/>
          <w:lang w:val="id-ID"/>
        </w:rPr>
        <w:t>Abstract</w:t>
      </w:r>
    </w:p>
    <w:p w:rsidR="004B766E" w:rsidRPr="009B71B8" w:rsidRDefault="004B766E" w:rsidP="004B766E">
      <w:pPr>
        <w:jc w:val="center"/>
        <w:rPr>
          <w:bCs/>
          <w:iCs/>
          <w:noProof/>
          <w:kern w:val="20"/>
          <w:sz w:val="20"/>
          <w:szCs w:val="20"/>
          <w:lang w:val="id-ID"/>
        </w:rPr>
      </w:pPr>
    </w:p>
    <w:p w:rsidR="00E55288" w:rsidRPr="009B71B8" w:rsidRDefault="00E55288" w:rsidP="007B650F">
      <w:pPr>
        <w:ind w:left="567" w:right="565"/>
        <w:jc w:val="both"/>
        <w:rPr>
          <w:noProof/>
          <w:sz w:val="20"/>
          <w:szCs w:val="20"/>
          <w:lang w:val="id-ID"/>
        </w:rPr>
      </w:pPr>
      <w:r w:rsidRPr="009B71B8">
        <w:rPr>
          <w:noProof/>
          <w:sz w:val="20"/>
          <w:szCs w:val="20"/>
          <w:lang w:val="id-ID"/>
        </w:rPr>
        <w:t>Global warming, climate changes mostly associates with solar-renewable energy; however wind-energy potential has no detail reports in Indonesia. This study aims to mapping of characteristics and potential of wind as renewable-energy from long-term (1997-2009) satellite remote-sensing. Wind direction (WD), speed (WS) derives from microwave/</w:t>
      </w:r>
      <w:r w:rsidR="007B650F" w:rsidRPr="009B71B8">
        <w:rPr>
          <w:noProof/>
          <w:sz w:val="20"/>
          <w:szCs w:val="20"/>
          <w:lang w:val="id-ID"/>
        </w:rPr>
        <w:t xml:space="preserve"> </w:t>
      </w:r>
      <w:r w:rsidRPr="009B71B8">
        <w:rPr>
          <w:noProof/>
          <w:sz w:val="20"/>
          <w:szCs w:val="20"/>
          <w:lang w:val="id-ID"/>
        </w:rPr>
        <w:t>scatterometer sensor on satellite operational years as follows: ADEOS (1997), DMSP (1998-1999), AMI (1997-1999), QuikSCAT (1999- 2009). Data processed into 0.25</w:t>
      </w:r>
      <w:r w:rsidRPr="009B71B8">
        <w:rPr>
          <w:noProof/>
          <w:sz w:val="20"/>
          <w:szCs w:val="20"/>
          <w:vertAlign w:val="superscript"/>
          <w:lang w:val="id-ID"/>
        </w:rPr>
        <w:t>o</w:t>
      </w:r>
      <w:r w:rsidRPr="009B71B8">
        <w:rPr>
          <w:noProof/>
          <w:sz w:val="20"/>
          <w:szCs w:val="20"/>
          <w:lang w:val="id-ID"/>
        </w:rPr>
        <w:t xml:space="preserve"> grid, monthly temporal resolution. The regional characteristics of WD/WS, seasonal and zonal-longitudinal reveals by statistic. Electrical energy derives from kinetic energy of turbine-blades per-unit time. Energy conversion uses power-curves and technical parameters of 1.50 and 3.40 MW (GE 1.5s, 3.4-137 models) onshore installations with 25km</w:t>
      </w:r>
      <w:r w:rsidRPr="009B71B8">
        <w:rPr>
          <w:noProof/>
          <w:sz w:val="20"/>
          <w:szCs w:val="20"/>
          <w:vertAlign w:val="superscript"/>
          <w:lang w:val="id-ID"/>
        </w:rPr>
        <w:t>2</w:t>
      </w:r>
      <w:r w:rsidRPr="009B71B8">
        <w:rPr>
          <w:noProof/>
          <w:sz w:val="20"/>
          <w:szCs w:val="20"/>
          <w:lang w:val="id-ID"/>
        </w:rPr>
        <w:t xml:space="preserve"> per point, 15% availability area. Result shows WS has low characteristics in Indonesian-waters (&lt;3.7ms</w:t>
      </w:r>
      <w:r w:rsidRPr="009B71B8">
        <w:rPr>
          <w:noProof/>
          <w:sz w:val="20"/>
          <w:szCs w:val="20"/>
          <w:vertAlign w:val="superscript"/>
          <w:lang w:val="id-ID"/>
        </w:rPr>
        <w:t>-1</w:t>
      </w:r>
      <w:r w:rsidRPr="009B71B8">
        <w:rPr>
          <w:noProof/>
          <w:sz w:val="20"/>
          <w:szCs w:val="20"/>
          <w:lang w:val="id-ID"/>
        </w:rPr>
        <w:t>). WS has high at north-south Java-Sumatra, Banda waters (&lt;6.9ms</w:t>
      </w:r>
      <w:r w:rsidRPr="009B71B8">
        <w:rPr>
          <w:noProof/>
          <w:sz w:val="20"/>
          <w:szCs w:val="20"/>
          <w:vertAlign w:val="superscript"/>
          <w:lang w:val="id-ID"/>
        </w:rPr>
        <w:t>-1</w:t>
      </w:r>
      <w:r w:rsidRPr="009B71B8">
        <w:rPr>
          <w:noProof/>
          <w:sz w:val="20"/>
          <w:szCs w:val="20"/>
          <w:lang w:val="id-ID"/>
        </w:rPr>
        <w:t>). The zonal-seasonal wind variability of WD, WS stables at equator. Increases of degree-zonal (&gt;5deg), wind curve follows north-south hemisphere characteristics and crosses in April, October. The north-west, south-east monsoon shows clearly only on north-western of Java-Sumatra waters. WS has range of 0-25.20ms</w:t>
      </w:r>
      <w:r w:rsidRPr="009B71B8">
        <w:rPr>
          <w:noProof/>
          <w:sz w:val="20"/>
          <w:szCs w:val="20"/>
          <w:vertAlign w:val="superscript"/>
          <w:lang w:val="id-ID"/>
        </w:rPr>
        <w:t>-1</w:t>
      </w:r>
      <w:r w:rsidRPr="009B71B8">
        <w:rPr>
          <w:noProof/>
          <w:sz w:val="20"/>
          <w:szCs w:val="20"/>
          <w:lang w:val="id-ID"/>
        </w:rPr>
        <w:t>, average 6.64ms</w:t>
      </w:r>
      <w:r w:rsidRPr="009B71B8">
        <w:rPr>
          <w:noProof/>
          <w:sz w:val="20"/>
          <w:szCs w:val="20"/>
          <w:vertAlign w:val="superscript"/>
          <w:lang w:val="id-ID"/>
        </w:rPr>
        <w:t>-1</w:t>
      </w:r>
      <w:r w:rsidRPr="009B71B8">
        <w:rPr>
          <w:noProof/>
          <w:sz w:val="20"/>
          <w:szCs w:val="20"/>
          <w:lang w:val="id-ID"/>
        </w:rPr>
        <w:t xml:space="preserve"> with Std. 1.64ms</w:t>
      </w:r>
      <w:r w:rsidRPr="009B71B8">
        <w:rPr>
          <w:noProof/>
          <w:sz w:val="20"/>
          <w:szCs w:val="20"/>
          <w:vertAlign w:val="superscript"/>
          <w:lang w:val="id-ID"/>
        </w:rPr>
        <w:t>-1</w:t>
      </w:r>
      <w:r w:rsidRPr="009B71B8">
        <w:rPr>
          <w:noProof/>
          <w:sz w:val="20"/>
          <w:szCs w:val="20"/>
          <w:lang w:val="id-ID"/>
        </w:rPr>
        <w:t>. With these WS, generation of electrical</w:t>
      </w:r>
      <w:r w:rsidR="007C05B0" w:rsidRPr="009B71B8">
        <w:rPr>
          <w:noProof/>
          <w:sz w:val="20"/>
          <w:szCs w:val="20"/>
          <w:lang w:val="id-ID"/>
        </w:rPr>
        <w:t xml:space="preserve"> energy</w:t>
      </w:r>
      <w:r w:rsidRPr="009B71B8">
        <w:rPr>
          <w:noProof/>
          <w:sz w:val="20"/>
          <w:szCs w:val="20"/>
          <w:lang w:val="id-ID"/>
        </w:rPr>
        <w:t xml:space="preserve"> has range from </w:t>
      </w:r>
      <w:r w:rsidR="00383267">
        <w:rPr>
          <w:noProof/>
          <w:sz w:val="20"/>
          <w:szCs w:val="20"/>
          <w:lang w:val="id-ID"/>
        </w:rPr>
        <w:t>104.0</w:t>
      </w:r>
      <w:r w:rsidRPr="009B71B8">
        <w:rPr>
          <w:noProof/>
          <w:sz w:val="20"/>
          <w:szCs w:val="20"/>
          <w:lang w:val="id-ID"/>
        </w:rPr>
        <w:t xml:space="preserve"> to </w:t>
      </w:r>
      <w:r w:rsidR="00383267">
        <w:rPr>
          <w:noProof/>
          <w:sz w:val="20"/>
          <w:szCs w:val="20"/>
          <w:lang w:val="id-ID"/>
        </w:rPr>
        <w:t>2230.5</w:t>
      </w:r>
      <w:r w:rsidRPr="009B71B8">
        <w:rPr>
          <w:noProof/>
          <w:sz w:val="20"/>
          <w:szCs w:val="20"/>
          <w:lang w:val="id-ID"/>
        </w:rPr>
        <w:t xml:space="preserve"> kWh per-point installation grid.</w:t>
      </w:r>
    </w:p>
    <w:p w:rsidR="004B766E" w:rsidRPr="009B71B8" w:rsidRDefault="00E55288" w:rsidP="004B766E">
      <w:pPr>
        <w:jc w:val="center"/>
        <w:rPr>
          <w:bCs/>
          <w:iCs/>
          <w:noProof/>
          <w:kern w:val="20"/>
          <w:sz w:val="20"/>
          <w:szCs w:val="20"/>
          <w:lang w:val="id-ID"/>
        </w:rPr>
      </w:pPr>
      <w:r w:rsidRPr="009B71B8">
        <w:rPr>
          <w:bCs/>
          <w:iCs/>
          <w:noProof/>
          <w:kern w:val="20"/>
          <w:sz w:val="20"/>
          <w:szCs w:val="20"/>
          <w:lang w:val="id-ID"/>
        </w:rPr>
        <w:t xml:space="preserve"> </w:t>
      </w:r>
    </w:p>
    <w:p w:rsidR="004B766E" w:rsidRPr="009B71B8" w:rsidRDefault="004B766E" w:rsidP="004B766E">
      <w:pPr>
        <w:ind w:left="567" w:right="565"/>
        <w:rPr>
          <w:noProof/>
          <w:sz w:val="20"/>
          <w:szCs w:val="20"/>
          <w:lang w:val="id-ID"/>
        </w:rPr>
      </w:pPr>
      <w:r w:rsidRPr="009B71B8">
        <w:rPr>
          <w:b/>
          <w:noProof/>
          <w:sz w:val="20"/>
          <w:szCs w:val="20"/>
          <w:lang w:val="id-ID"/>
        </w:rPr>
        <w:t xml:space="preserve">Keywords: </w:t>
      </w:r>
      <w:r w:rsidR="00F42512" w:rsidRPr="009B71B8">
        <w:rPr>
          <w:i/>
          <w:noProof/>
          <w:sz w:val="20"/>
          <w:szCs w:val="20"/>
          <w:lang w:val="id-ID"/>
        </w:rPr>
        <w:t>Characteristics. Energy, Wind, Satellite, Generation</w:t>
      </w:r>
    </w:p>
    <w:p w:rsidR="004B766E" w:rsidRPr="009B71B8" w:rsidRDefault="004B766E" w:rsidP="004B766E">
      <w:pPr>
        <w:jc w:val="center"/>
        <w:rPr>
          <w:bCs/>
          <w:iCs/>
          <w:noProof/>
          <w:kern w:val="20"/>
          <w:sz w:val="20"/>
          <w:szCs w:val="20"/>
          <w:lang w:val="id-ID"/>
        </w:rPr>
      </w:pPr>
    </w:p>
    <w:p w:rsidR="004B766E" w:rsidRPr="00905B83" w:rsidRDefault="004B766E" w:rsidP="00DA5FB9">
      <w:pPr>
        <w:jc w:val="center"/>
        <w:rPr>
          <w:noProof/>
          <w:sz w:val="20"/>
          <w:szCs w:val="20"/>
          <w:lang w:val="id-ID" w:eastAsia="ja-JP"/>
        </w:rPr>
      </w:pPr>
    </w:p>
    <w:p w:rsidR="004B766E" w:rsidRPr="009B71B8" w:rsidRDefault="004B766E" w:rsidP="004B766E">
      <w:pPr>
        <w:ind w:left="567" w:right="565"/>
        <w:jc w:val="center"/>
        <w:rPr>
          <w:b/>
          <w:noProof/>
          <w:sz w:val="20"/>
          <w:szCs w:val="20"/>
          <w:lang w:val="id-ID"/>
        </w:rPr>
      </w:pPr>
      <w:r w:rsidRPr="009B71B8">
        <w:rPr>
          <w:b/>
          <w:noProof/>
          <w:sz w:val="20"/>
          <w:szCs w:val="20"/>
          <w:lang w:val="id-ID"/>
        </w:rPr>
        <w:t>Abstrak</w:t>
      </w:r>
    </w:p>
    <w:p w:rsidR="004B766E" w:rsidRPr="009B71B8" w:rsidRDefault="004B766E" w:rsidP="004B766E">
      <w:pPr>
        <w:jc w:val="center"/>
        <w:rPr>
          <w:bCs/>
          <w:iCs/>
          <w:noProof/>
          <w:kern w:val="20"/>
          <w:sz w:val="20"/>
          <w:szCs w:val="20"/>
          <w:lang w:val="id-ID"/>
        </w:rPr>
      </w:pPr>
    </w:p>
    <w:p w:rsidR="00197329" w:rsidRPr="009B71B8" w:rsidRDefault="00197329" w:rsidP="00197329">
      <w:pPr>
        <w:ind w:left="567" w:right="565"/>
        <w:jc w:val="both"/>
        <w:rPr>
          <w:noProof/>
          <w:sz w:val="20"/>
          <w:szCs w:val="20"/>
          <w:lang w:val="id-ID"/>
        </w:rPr>
      </w:pPr>
      <w:r w:rsidRPr="009B71B8">
        <w:rPr>
          <w:noProof/>
          <w:sz w:val="20"/>
          <w:szCs w:val="20"/>
          <w:lang w:val="id-ID"/>
        </w:rPr>
        <w:t xml:space="preserve">Perubahan iklim dan pemanasan global terkait dengan penelitian solar energi banyak dilakukan, namum potensi energi angin belum secara detail dipetakan diIndonesia. Penelitian ini bertujuan memetakan, karakteristik dan potensi angin sebagai energi terbarukan dari data </w:t>
      </w:r>
      <w:r w:rsidRPr="009B71B8">
        <w:rPr>
          <w:i/>
          <w:noProof/>
          <w:sz w:val="20"/>
          <w:szCs w:val="20"/>
          <w:lang w:val="id-ID"/>
        </w:rPr>
        <w:t xml:space="preserve">long-term </w:t>
      </w:r>
      <w:r w:rsidRPr="009B71B8">
        <w:rPr>
          <w:noProof/>
          <w:sz w:val="20"/>
          <w:szCs w:val="20"/>
          <w:lang w:val="id-ID"/>
        </w:rPr>
        <w:t>(1997-2009)</w:t>
      </w:r>
      <w:r w:rsidRPr="009B71B8">
        <w:rPr>
          <w:i/>
          <w:noProof/>
          <w:sz w:val="20"/>
          <w:szCs w:val="20"/>
          <w:lang w:val="id-ID"/>
        </w:rPr>
        <w:t xml:space="preserve"> satellite remote sensing</w:t>
      </w:r>
      <w:r w:rsidRPr="009B71B8">
        <w:rPr>
          <w:noProof/>
          <w:sz w:val="20"/>
          <w:szCs w:val="20"/>
          <w:lang w:val="id-ID"/>
        </w:rPr>
        <w:t xml:space="preserve">. Arah (WD) dan kecepatan angin (WS) di Indonesia didapat dari data sensor </w:t>
      </w:r>
      <w:r w:rsidRPr="009B71B8">
        <w:rPr>
          <w:i/>
          <w:noProof/>
          <w:sz w:val="20"/>
          <w:szCs w:val="20"/>
          <w:lang w:val="id-ID"/>
        </w:rPr>
        <w:t>microwave</w:t>
      </w:r>
      <w:r w:rsidRPr="009B71B8">
        <w:rPr>
          <w:noProof/>
          <w:sz w:val="20"/>
          <w:szCs w:val="20"/>
          <w:lang w:val="id-ID"/>
        </w:rPr>
        <w:t xml:space="preserve"> dan </w:t>
      </w:r>
      <w:r w:rsidRPr="009B71B8">
        <w:rPr>
          <w:i/>
          <w:noProof/>
          <w:sz w:val="20"/>
          <w:szCs w:val="20"/>
          <w:lang w:val="id-ID"/>
        </w:rPr>
        <w:t>scatterometer</w:t>
      </w:r>
      <w:r w:rsidRPr="009B71B8">
        <w:rPr>
          <w:noProof/>
          <w:sz w:val="20"/>
          <w:szCs w:val="20"/>
          <w:lang w:val="id-ID"/>
        </w:rPr>
        <w:t xml:space="preserve"> pada tahun-tahun operasional satelit sbb: ADEOS(1997), DMSP(1998-1999), AMI(1997-1999), QuikSCAT (1999-2009). Keseluruhan data dipre-prosesing dengan grid 0.25</w:t>
      </w:r>
      <w:r w:rsidRPr="009B71B8">
        <w:rPr>
          <w:noProof/>
          <w:sz w:val="20"/>
          <w:szCs w:val="20"/>
          <w:vertAlign w:val="superscript"/>
          <w:lang w:val="id-ID"/>
        </w:rPr>
        <w:t>o</w:t>
      </w:r>
      <w:r w:rsidRPr="009B71B8">
        <w:rPr>
          <w:noProof/>
          <w:sz w:val="20"/>
          <w:szCs w:val="20"/>
          <w:lang w:val="id-ID"/>
        </w:rPr>
        <w:t xml:space="preserve"> dan resolusi temporal bulanan. Karakteristik WD dan WS secara regional, seasonal dan zonal-longitudinal diugkap dengan statistik. Estimasi energi listrik </w:t>
      </w:r>
      <w:r w:rsidR="00595DF9" w:rsidRPr="009B71B8">
        <w:rPr>
          <w:noProof/>
          <w:sz w:val="20"/>
          <w:szCs w:val="20"/>
          <w:lang w:val="id-ID"/>
        </w:rPr>
        <w:t xml:space="preserve">didapat </w:t>
      </w:r>
      <w:r w:rsidRPr="009B71B8">
        <w:rPr>
          <w:noProof/>
          <w:sz w:val="20"/>
          <w:szCs w:val="20"/>
          <w:lang w:val="id-ID"/>
        </w:rPr>
        <w:t xml:space="preserve">dari energi kinetik bilah turbin per-unit waktu. Konversi energi menggunakan kurva-daya dan parameter teknis dari 1.50 dan 3.40 MW (GE 1.5s, 3.4-137 model) turbin angin instalasi </w:t>
      </w:r>
      <w:r w:rsidRPr="009B71B8">
        <w:rPr>
          <w:i/>
          <w:noProof/>
          <w:sz w:val="20"/>
          <w:szCs w:val="20"/>
          <w:lang w:val="id-ID"/>
        </w:rPr>
        <w:t>onshore</w:t>
      </w:r>
      <w:r w:rsidRPr="009B71B8">
        <w:rPr>
          <w:noProof/>
          <w:sz w:val="20"/>
          <w:szCs w:val="20"/>
          <w:lang w:val="id-ID"/>
        </w:rPr>
        <w:t xml:space="preserve"> dengan 25 km</w:t>
      </w:r>
      <w:r w:rsidRPr="009B71B8">
        <w:rPr>
          <w:noProof/>
          <w:sz w:val="20"/>
          <w:szCs w:val="20"/>
          <w:vertAlign w:val="superscript"/>
          <w:lang w:val="id-ID"/>
        </w:rPr>
        <w:t>2</w:t>
      </w:r>
      <w:r w:rsidRPr="009B71B8">
        <w:rPr>
          <w:noProof/>
          <w:sz w:val="20"/>
          <w:szCs w:val="20"/>
          <w:lang w:val="id-ID"/>
        </w:rPr>
        <w:t xml:space="preserve"> per-titik dan 15% ketersediaan area. Hasil menunjukkan karakteristik umum WS rendah diperairan Indonesia </w:t>
      </w:r>
      <w:r w:rsidR="00F844A5" w:rsidRPr="009B71B8">
        <w:rPr>
          <w:noProof/>
          <w:sz w:val="20"/>
          <w:szCs w:val="20"/>
          <w:lang w:val="id-ID"/>
        </w:rPr>
        <w:t>(&lt;</w:t>
      </w:r>
      <w:r w:rsidRPr="009B71B8">
        <w:rPr>
          <w:noProof/>
          <w:sz w:val="20"/>
          <w:szCs w:val="20"/>
          <w:lang w:val="id-ID"/>
        </w:rPr>
        <w:t>3.7ms</w:t>
      </w:r>
      <w:r w:rsidRPr="009B71B8">
        <w:rPr>
          <w:noProof/>
          <w:sz w:val="20"/>
          <w:szCs w:val="20"/>
          <w:vertAlign w:val="superscript"/>
          <w:lang w:val="id-ID"/>
        </w:rPr>
        <w:t>-1</w:t>
      </w:r>
      <w:r w:rsidRPr="009B71B8">
        <w:rPr>
          <w:noProof/>
          <w:sz w:val="20"/>
          <w:szCs w:val="20"/>
          <w:lang w:val="id-ID"/>
        </w:rPr>
        <w:t>). WS tinggi diarea utara-selatan Jawa-Sumatra dan di</w:t>
      </w:r>
      <w:r w:rsidR="00F844A5" w:rsidRPr="009B71B8">
        <w:rPr>
          <w:noProof/>
          <w:sz w:val="20"/>
          <w:szCs w:val="20"/>
          <w:lang w:val="id-ID"/>
        </w:rPr>
        <w:t>perairan Banda (&lt;</w:t>
      </w:r>
      <w:r w:rsidRPr="009B71B8">
        <w:rPr>
          <w:noProof/>
          <w:sz w:val="20"/>
          <w:szCs w:val="20"/>
          <w:lang w:val="id-ID"/>
        </w:rPr>
        <w:t>6.9ms</w:t>
      </w:r>
      <w:r w:rsidRPr="009B71B8">
        <w:rPr>
          <w:noProof/>
          <w:sz w:val="20"/>
          <w:szCs w:val="20"/>
          <w:vertAlign w:val="superscript"/>
          <w:lang w:val="id-ID"/>
        </w:rPr>
        <w:t>-1</w:t>
      </w:r>
      <w:r w:rsidRPr="009B71B8">
        <w:rPr>
          <w:noProof/>
          <w:sz w:val="20"/>
          <w:szCs w:val="20"/>
          <w:lang w:val="id-ID"/>
        </w:rPr>
        <w:t>). Zonal-Seaseonal variabiliti angin didaerah equator WD, WS sangat stabil. Peningkatan derajat zonal (5</w:t>
      </w:r>
      <w:r w:rsidR="00F844A5" w:rsidRPr="009B71B8">
        <w:rPr>
          <w:noProof/>
          <w:sz w:val="20"/>
          <w:szCs w:val="20"/>
          <w:lang w:val="id-ID"/>
        </w:rPr>
        <w:t>deg</w:t>
      </w:r>
      <w:r w:rsidRPr="009B71B8">
        <w:rPr>
          <w:noProof/>
          <w:sz w:val="20"/>
          <w:szCs w:val="20"/>
          <w:lang w:val="id-ID"/>
        </w:rPr>
        <w:t>&gt;), kurva angin spesifik mengikuti area belahan bumi utara-selatan menyilang dibulan April, Oktober. Angin muson utara-barat dan selatan-timur jelas terlihat hanya diperairan utara-barat Jawa-Sumatra. WS bekisar 0-25.20ms</w:t>
      </w:r>
      <w:r w:rsidRPr="009B71B8">
        <w:rPr>
          <w:noProof/>
          <w:sz w:val="20"/>
          <w:szCs w:val="20"/>
          <w:vertAlign w:val="superscript"/>
          <w:lang w:val="id-ID"/>
        </w:rPr>
        <w:t>-1</w:t>
      </w:r>
      <w:r w:rsidRPr="009B71B8">
        <w:rPr>
          <w:noProof/>
          <w:sz w:val="20"/>
          <w:szCs w:val="20"/>
          <w:lang w:val="id-ID"/>
        </w:rPr>
        <w:t>, rata-rata 6.64ms</w:t>
      </w:r>
      <w:r w:rsidRPr="009B71B8">
        <w:rPr>
          <w:noProof/>
          <w:sz w:val="20"/>
          <w:szCs w:val="20"/>
          <w:vertAlign w:val="superscript"/>
          <w:lang w:val="id-ID"/>
        </w:rPr>
        <w:t>-1</w:t>
      </w:r>
      <w:r w:rsidRPr="009B71B8">
        <w:rPr>
          <w:noProof/>
          <w:sz w:val="20"/>
          <w:szCs w:val="20"/>
          <w:lang w:val="id-ID"/>
        </w:rPr>
        <w:t xml:space="preserve"> dengan Std. 1.64ms</w:t>
      </w:r>
      <w:r w:rsidRPr="009B71B8">
        <w:rPr>
          <w:noProof/>
          <w:sz w:val="20"/>
          <w:szCs w:val="20"/>
          <w:vertAlign w:val="superscript"/>
          <w:lang w:val="id-ID"/>
        </w:rPr>
        <w:t>-1</w:t>
      </w:r>
      <w:r w:rsidRPr="009B71B8">
        <w:rPr>
          <w:noProof/>
          <w:sz w:val="20"/>
          <w:szCs w:val="20"/>
          <w:lang w:val="id-ID"/>
        </w:rPr>
        <w:t xml:space="preserve">. Estimasi pembangkitan energi listrik berkisar </w:t>
      </w:r>
      <w:r w:rsidR="00383267">
        <w:rPr>
          <w:noProof/>
          <w:sz w:val="20"/>
          <w:szCs w:val="20"/>
          <w:lang w:val="id-ID"/>
        </w:rPr>
        <w:t xml:space="preserve">104.0 </w:t>
      </w:r>
      <w:r w:rsidRPr="009B71B8">
        <w:rPr>
          <w:noProof/>
          <w:sz w:val="20"/>
          <w:szCs w:val="20"/>
          <w:lang w:val="id-ID"/>
        </w:rPr>
        <w:t xml:space="preserve">s/d </w:t>
      </w:r>
      <w:r w:rsidR="00383267">
        <w:rPr>
          <w:noProof/>
          <w:sz w:val="20"/>
          <w:szCs w:val="20"/>
          <w:lang w:val="id-ID"/>
        </w:rPr>
        <w:t xml:space="preserve">2230.5 </w:t>
      </w:r>
      <w:r w:rsidRPr="009B71B8">
        <w:rPr>
          <w:noProof/>
          <w:sz w:val="20"/>
          <w:szCs w:val="20"/>
          <w:lang w:val="id-ID"/>
        </w:rPr>
        <w:t>kWh per</w:t>
      </w:r>
      <w:r w:rsidR="00125156" w:rsidRPr="009B71B8">
        <w:rPr>
          <w:noProof/>
          <w:sz w:val="20"/>
          <w:szCs w:val="20"/>
          <w:lang w:val="id-ID"/>
        </w:rPr>
        <w:t>-</w:t>
      </w:r>
      <w:r w:rsidRPr="009B71B8">
        <w:rPr>
          <w:noProof/>
          <w:sz w:val="20"/>
          <w:szCs w:val="20"/>
          <w:lang w:val="id-ID"/>
        </w:rPr>
        <w:t>titik grid instalasi.</w:t>
      </w:r>
    </w:p>
    <w:p w:rsidR="004B766E" w:rsidRPr="009B71B8" w:rsidRDefault="00197329" w:rsidP="004B766E">
      <w:pPr>
        <w:jc w:val="center"/>
        <w:rPr>
          <w:bCs/>
          <w:iCs/>
          <w:noProof/>
          <w:kern w:val="20"/>
          <w:sz w:val="20"/>
          <w:szCs w:val="20"/>
          <w:lang w:val="id-ID"/>
        </w:rPr>
      </w:pPr>
      <w:r w:rsidRPr="009B71B8">
        <w:rPr>
          <w:bCs/>
          <w:iCs/>
          <w:noProof/>
          <w:kern w:val="20"/>
          <w:sz w:val="20"/>
          <w:szCs w:val="20"/>
          <w:lang w:val="id-ID"/>
        </w:rPr>
        <w:t xml:space="preserve"> </w:t>
      </w:r>
    </w:p>
    <w:p w:rsidR="0016578D" w:rsidRPr="009B71B8" w:rsidRDefault="004B766E" w:rsidP="00857907">
      <w:pPr>
        <w:ind w:left="567" w:right="565"/>
        <w:rPr>
          <w:i/>
          <w:noProof/>
          <w:sz w:val="20"/>
          <w:szCs w:val="20"/>
          <w:lang w:val="id-ID"/>
        </w:rPr>
      </w:pPr>
      <w:r w:rsidRPr="009B71B8">
        <w:rPr>
          <w:b/>
          <w:noProof/>
          <w:sz w:val="20"/>
          <w:szCs w:val="20"/>
          <w:lang w:val="id-ID"/>
        </w:rPr>
        <w:t>Kata Kunci:</w:t>
      </w:r>
      <w:r w:rsidRPr="009B71B8">
        <w:rPr>
          <w:noProof/>
          <w:sz w:val="20"/>
          <w:szCs w:val="20"/>
          <w:lang w:val="id-ID"/>
        </w:rPr>
        <w:t xml:space="preserve"> </w:t>
      </w:r>
      <w:r w:rsidR="005D3EF1" w:rsidRPr="009B71B8">
        <w:rPr>
          <w:i/>
          <w:noProof/>
          <w:sz w:val="20"/>
          <w:szCs w:val="20"/>
          <w:lang w:val="id-ID"/>
        </w:rPr>
        <w:t xml:space="preserve">Karakteristik. Energi, Angin, </w:t>
      </w:r>
      <w:r w:rsidR="00840EE3" w:rsidRPr="009B71B8">
        <w:rPr>
          <w:i/>
          <w:noProof/>
          <w:sz w:val="20"/>
          <w:szCs w:val="20"/>
          <w:lang w:val="id-ID"/>
        </w:rPr>
        <w:t xml:space="preserve">Satelit, </w:t>
      </w:r>
      <w:r w:rsidR="00857907" w:rsidRPr="009B71B8">
        <w:rPr>
          <w:i/>
          <w:noProof/>
          <w:sz w:val="20"/>
          <w:szCs w:val="20"/>
          <w:lang w:val="id-ID"/>
        </w:rPr>
        <w:t>Pembangkitan</w:t>
      </w:r>
    </w:p>
    <w:p w:rsidR="00E700D0" w:rsidRPr="009B71B8" w:rsidRDefault="00E700D0" w:rsidP="00857907">
      <w:pPr>
        <w:ind w:left="567" w:right="565"/>
        <w:rPr>
          <w:sz w:val="20"/>
          <w:szCs w:val="20"/>
          <w:lang w:val="id-ID"/>
        </w:rPr>
      </w:pPr>
    </w:p>
    <w:p w:rsidR="00E700D0" w:rsidRPr="009B71B8" w:rsidRDefault="00E700D0" w:rsidP="00E700D0">
      <w:pPr>
        <w:spacing w:line="360" w:lineRule="auto"/>
        <w:jc w:val="both"/>
        <w:rPr>
          <w:b/>
          <w:lang w:val="id-ID"/>
        </w:rPr>
      </w:pPr>
      <w:r w:rsidRPr="009B71B8">
        <w:rPr>
          <w:b/>
          <w:lang w:val="id-ID"/>
        </w:rPr>
        <w:lastRenderedPageBreak/>
        <w:t>PENDAHULUAN</w:t>
      </w:r>
    </w:p>
    <w:p w:rsidR="003B5E46" w:rsidRDefault="00095C4E" w:rsidP="00216087">
      <w:pPr>
        <w:spacing w:line="360" w:lineRule="auto"/>
        <w:ind w:firstLine="360"/>
        <w:jc w:val="both"/>
        <w:rPr>
          <w:lang w:val="id-ID"/>
        </w:rPr>
      </w:pPr>
      <w:r w:rsidRPr="009B71B8">
        <w:rPr>
          <w:lang w:val="id-ID"/>
        </w:rPr>
        <w:t>Pemanasan global dan perubahan iklim sudah secara nyata akan diha</w:t>
      </w:r>
      <w:r w:rsidR="00922C70" w:rsidRPr="009B71B8">
        <w:rPr>
          <w:lang w:val="id-ID"/>
        </w:rPr>
        <w:t>dapi akibat penggunaan berlebih bahan fosil sebagai sumber energi utama dunia</w:t>
      </w:r>
      <w:r w:rsidR="00151489" w:rsidRPr="009B71B8">
        <w:rPr>
          <w:lang w:val="id-ID"/>
        </w:rPr>
        <w:t xml:space="preserve"> (Sacuta</w:t>
      </w:r>
      <w:r w:rsidR="00216087">
        <w:rPr>
          <w:lang w:val="id-ID"/>
        </w:rPr>
        <w:t xml:space="preserve">, </w:t>
      </w:r>
      <w:r w:rsidR="00216087" w:rsidRPr="00BB49B4">
        <w:rPr>
          <w:noProof/>
          <w:lang w:val="id-ID"/>
        </w:rPr>
        <w:t>Young</w:t>
      </w:r>
      <w:r w:rsidR="00216087">
        <w:rPr>
          <w:noProof/>
          <w:lang w:val="id-ID"/>
        </w:rPr>
        <w:t xml:space="preserve"> dan</w:t>
      </w:r>
      <w:r w:rsidR="00216087">
        <w:rPr>
          <w:lang w:val="id-ID"/>
        </w:rPr>
        <w:t xml:space="preserve"> </w:t>
      </w:r>
      <w:r w:rsidR="00216087" w:rsidRPr="00BB49B4">
        <w:rPr>
          <w:noProof/>
          <w:lang w:val="id-ID"/>
        </w:rPr>
        <w:t>Worth</w:t>
      </w:r>
      <w:r w:rsidR="00151489" w:rsidRPr="009B71B8">
        <w:rPr>
          <w:lang w:val="id-ID"/>
        </w:rPr>
        <w:t>, 2015)</w:t>
      </w:r>
      <w:r w:rsidR="005A09CB" w:rsidRPr="009B71B8">
        <w:rPr>
          <w:lang w:val="id-ID"/>
        </w:rPr>
        <w:t>. Pembangkitan energi dan tranportasi meningkat sejalan dengan pertumbuhan populasi dunia yang mencapai tujuh milyar lebih. (</w:t>
      </w:r>
      <w:r w:rsidR="00A036B0" w:rsidRPr="00A036B0">
        <w:rPr>
          <w:noProof/>
          <w:lang w:val="id-ID"/>
        </w:rPr>
        <w:t>Coyle</w:t>
      </w:r>
      <w:r w:rsidR="002F57AD">
        <w:rPr>
          <w:noProof/>
          <w:lang w:val="id-ID"/>
        </w:rPr>
        <w:t xml:space="preserve"> dan </w:t>
      </w:r>
      <w:r w:rsidR="002F57AD" w:rsidRPr="00A036B0">
        <w:rPr>
          <w:noProof/>
          <w:lang w:val="id-ID"/>
        </w:rPr>
        <w:t>Simmons</w:t>
      </w:r>
      <w:r w:rsidR="00AB3D37">
        <w:rPr>
          <w:lang w:val="id-ID"/>
        </w:rPr>
        <w:t>, 2014). Dengan pertumbuhan kon</w:t>
      </w:r>
      <w:r w:rsidR="00763DBA">
        <w:rPr>
          <w:lang w:val="id-ID"/>
        </w:rPr>
        <w:t>sumsi listrik dunia sebesar 2.4 persen</w:t>
      </w:r>
      <w:r w:rsidR="005A09CB" w:rsidRPr="009B71B8">
        <w:rPr>
          <w:lang w:val="id-ID"/>
        </w:rPr>
        <w:t xml:space="preserve"> sampai tahun 2030 (Johnson et al</w:t>
      </w:r>
      <w:r w:rsidR="00763DBA">
        <w:rPr>
          <w:lang w:val="id-ID"/>
        </w:rPr>
        <w:t>.</w:t>
      </w:r>
      <w:r w:rsidR="005A09CB" w:rsidRPr="009B71B8">
        <w:rPr>
          <w:lang w:val="id-ID"/>
        </w:rPr>
        <w:t>, 2015). Indonesia menggunakan lebih dari 550 juta ton batubara sebagai produksi ene</w:t>
      </w:r>
      <w:r w:rsidR="00C5305F" w:rsidRPr="009B71B8">
        <w:rPr>
          <w:lang w:val="id-ID"/>
        </w:rPr>
        <w:t>rgi utama</w:t>
      </w:r>
      <w:r w:rsidR="003B5E46">
        <w:rPr>
          <w:lang w:val="id-ID"/>
        </w:rPr>
        <w:t>.</w:t>
      </w:r>
    </w:p>
    <w:p w:rsidR="00FF4262" w:rsidRDefault="00490FE3" w:rsidP="00C5305F">
      <w:pPr>
        <w:spacing w:line="360" w:lineRule="auto"/>
        <w:ind w:firstLine="360"/>
        <w:jc w:val="both"/>
        <w:rPr>
          <w:lang w:val="id-ID"/>
        </w:rPr>
      </w:pPr>
      <w:r w:rsidRPr="009B71B8">
        <w:rPr>
          <w:lang w:val="id-ID"/>
        </w:rPr>
        <w:t xml:space="preserve">Penelitian dan pengembangan potensi dan implementasi energi baru terbarukan </w:t>
      </w:r>
      <w:r w:rsidR="006C4DBE" w:rsidRPr="009B71B8">
        <w:rPr>
          <w:lang w:val="id-ID"/>
        </w:rPr>
        <w:t>(EBT) mulai bangkit dengan banyaknya masyarak</w:t>
      </w:r>
      <w:r w:rsidR="00A948DB" w:rsidRPr="009B71B8">
        <w:rPr>
          <w:lang w:val="id-ID"/>
        </w:rPr>
        <w:t>a</w:t>
      </w:r>
      <w:r w:rsidR="006C4DBE" w:rsidRPr="009B71B8">
        <w:rPr>
          <w:lang w:val="id-ID"/>
        </w:rPr>
        <w:t xml:space="preserve">t mengenal dan mengetahui segi ekonomi dari solar </w:t>
      </w:r>
      <w:r w:rsidR="006274A0">
        <w:rPr>
          <w:lang w:val="id-ID"/>
        </w:rPr>
        <w:t>PV</w:t>
      </w:r>
      <w:r w:rsidR="006C4DBE" w:rsidRPr="009B71B8">
        <w:rPr>
          <w:lang w:val="id-ID"/>
        </w:rPr>
        <w:t xml:space="preserve"> sebagai sumber energi listrik</w:t>
      </w:r>
      <w:r w:rsidR="003258AF" w:rsidRPr="009B71B8">
        <w:rPr>
          <w:lang w:val="id-ID"/>
        </w:rPr>
        <w:t xml:space="preserve"> alternatif</w:t>
      </w:r>
      <w:r w:rsidR="004E534D">
        <w:rPr>
          <w:lang w:val="id-ID"/>
        </w:rPr>
        <w:t xml:space="preserve"> (</w:t>
      </w:r>
      <w:r w:rsidR="004E534D" w:rsidRPr="004E534D">
        <w:rPr>
          <w:lang w:val="id-ID"/>
        </w:rPr>
        <w:t>Bazilian</w:t>
      </w:r>
      <w:r w:rsidR="004E534D">
        <w:rPr>
          <w:lang w:val="id-ID"/>
        </w:rPr>
        <w:t xml:space="preserve"> et al., 2013)</w:t>
      </w:r>
      <w:r w:rsidR="00D712E5" w:rsidRPr="009B71B8">
        <w:rPr>
          <w:lang w:val="id-ID"/>
        </w:rPr>
        <w:t xml:space="preserve">. </w:t>
      </w:r>
      <w:r w:rsidR="009C03EF" w:rsidRPr="009B71B8">
        <w:rPr>
          <w:lang w:val="id-ID"/>
        </w:rPr>
        <w:t xml:space="preserve">Pemerintah Indonesia sendiri bersemangat </w:t>
      </w:r>
      <w:r w:rsidR="00BD061B" w:rsidRPr="009B71B8">
        <w:rPr>
          <w:lang w:val="id-ID"/>
        </w:rPr>
        <w:t xml:space="preserve">meningkatkan EBT </w:t>
      </w:r>
      <w:r w:rsidR="009C03EF" w:rsidRPr="009B71B8">
        <w:rPr>
          <w:lang w:val="id-ID"/>
        </w:rPr>
        <w:t>untuk mencapai</w:t>
      </w:r>
      <w:r w:rsidR="00BD061B" w:rsidRPr="009B71B8">
        <w:rPr>
          <w:lang w:val="id-ID"/>
        </w:rPr>
        <w:t xml:space="preserve"> 23 persen dari total bauran energi nasional pada </w:t>
      </w:r>
      <w:r w:rsidR="003A2D9E" w:rsidRPr="009B71B8">
        <w:rPr>
          <w:lang w:val="id-ID"/>
        </w:rPr>
        <w:t xml:space="preserve">tahun </w:t>
      </w:r>
      <w:r w:rsidR="00BD061B" w:rsidRPr="009B71B8">
        <w:rPr>
          <w:lang w:val="id-ID"/>
        </w:rPr>
        <w:t>2025 mendatang</w:t>
      </w:r>
      <w:r w:rsidR="005111FE">
        <w:rPr>
          <w:lang w:val="id-ID"/>
        </w:rPr>
        <w:t xml:space="preserve"> </w:t>
      </w:r>
      <w:r w:rsidR="005111FE" w:rsidRPr="009B71B8">
        <w:rPr>
          <w:lang w:val="id-ID"/>
        </w:rPr>
        <w:t>(Pusdatin ESDM 2014)</w:t>
      </w:r>
      <w:r w:rsidR="00BD061B" w:rsidRPr="009B71B8">
        <w:rPr>
          <w:lang w:val="id-ID"/>
        </w:rPr>
        <w:t>.</w:t>
      </w:r>
      <w:r w:rsidR="006274A0">
        <w:rPr>
          <w:lang w:val="id-ID"/>
        </w:rPr>
        <w:t xml:space="preserve"> Namun, biaya pembangkitan dari solar PV masih tinggi, tidak dapat secara ekonomi bersaing langsung dengan sistem pembangkitan konvensional. Kecuali didaerah-daerah yang jauh dimana ulititas daya tidak tersedia dan biaya transmisi daya menjadi penghambat.</w:t>
      </w:r>
    </w:p>
    <w:p w:rsidR="00237258" w:rsidRDefault="00FF4262" w:rsidP="004E6C1A">
      <w:pPr>
        <w:spacing w:line="360" w:lineRule="auto"/>
        <w:ind w:firstLine="360"/>
        <w:jc w:val="both"/>
        <w:rPr>
          <w:lang w:val="id-ID"/>
        </w:rPr>
      </w:pPr>
      <w:r>
        <w:rPr>
          <w:lang w:val="id-ID"/>
        </w:rPr>
        <w:t xml:space="preserve">Pada skala biaya energi yang besar, generator turbin angin sekarang mampu bersaing dan menjadi </w:t>
      </w:r>
      <w:r w:rsidR="00005B54">
        <w:rPr>
          <w:lang w:val="id-ID"/>
        </w:rPr>
        <w:t xml:space="preserve">sumber daya listrik dengan teknologi </w:t>
      </w:r>
      <w:r>
        <w:rPr>
          <w:lang w:val="id-ID"/>
        </w:rPr>
        <w:t>paling</w:t>
      </w:r>
      <w:r w:rsidR="00005B54">
        <w:rPr>
          <w:lang w:val="id-ID"/>
        </w:rPr>
        <w:t xml:space="preserve"> kompetitif dibandingkan dengan </w:t>
      </w:r>
      <w:r w:rsidR="00983AFF">
        <w:rPr>
          <w:lang w:val="id-ID"/>
        </w:rPr>
        <w:t xml:space="preserve">sistem </w:t>
      </w:r>
      <w:r>
        <w:rPr>
          <w:lang w:val="id-ID"/>
        </w:rPr>
        <w:t>pemban</w:t>
      </w:r>
      <w:r w:rsidR="00005B54">
        <w:rPr>
          <w:lang w:val="id-ID"/>
        </w:rPr>
        <w:t>gkitan konvensional.</w:t>
      </w:r>
      <w:r w:rsidR="00A620DA">
        <w:rPr>
          <w:lang w:val="id-ID"/>
        </w:rPr>
        <w:t xml:space="preserve"> Dengan sumber angin berlimpah dan ramah lingkungan, menjadi hal yang penting dalam perenca</w:t>
      </w:r>
      <w:r w:rsidR="00A908AD">
        <w:rPr>
          <w:lang w:val="id-ID"/>
        </w:rPr>
        <w:t>naan energi dunia (</w:t>
      </w:r>
      <w:r w:rsidR="00A908AD" w:rsidRPr="00A908AD">
        <w:rPr>
          <w:noProof/>
          <w:lang w:val="id-ID"/>
        </w:rPr>
        <w:t>Jacobson</w:t>
      </w:r>
      <w:r w:rsidR="00CC71FC">
        <w:rPr>
          <w:noProof/>
          <w:lang w:val="id-ID"/>
        </w:rPr>
        <w:t xml:space="preserve"> dan </w:t>
      </w:r>
      <w:r w:rsidR="00CC71FC" w:rsidRPr="00A908AD">
        <w:rPr>
          <w:noProof/>
          <w:lang w:val="id-ID"/>
        </w:rPr>
        <w:t>Archer</w:t>
      </w:r>
      <w:r w:rsidR="00A908AD">
        <w:rPr>
          <w:noProof/>
          <w:lang w:val="id-ID"/>
        </w:rPr>
        <w:t>, 2012;  Patel, 2005)</w:t>
      </w:r>
      <w:r w:rsidR="00703677">
        <w:rPr>
          <w:noProof/>
          <w:lang w:val="id-ID"/>
        </w:rPr>
        <w:t>.</w:t>
      </w:r>
    </w:p>
    <w:p w:rsidR="00BD061B" w:rsidRDefault="005005B4" w:rsidP="00BD0961">
      <w:pPr>
        <w:spacing w:line="360" w:lineRule="auto"/>
        <w:ind w:firstLine="360"/>
        <w:jc w:val="both"/>
        <w:rPr>
          <w:lang w:val="id-ID"/>
        </w:rPr>
      </w:pPr>
      <w:r w:rsidRPr="009B71B8">
        <w:rPr>
          <w:lang w:val="id-ID"/>
        </w:rPr>
        <w:t xml:space="preserve">Potensi </w:t>
      </w:r>
      <w:r w:rsidR="00330022" w:rsidRPr="009B71B8">
        <w:rPr>
          <w:lang w:val="id-ID"/>
        </w:rPr>
        <w:t xml:space="preserve">EBT dari </w:t>
      </w:r>
      <w:r w:rsidR="00F70CED" w:rsidRPr="009B71B8">
        <w:rPr>
          <w:lang w:val="id-ID"/>
        </w:rPr>
        <w:t xml:space="preserve">angin </w:t>
      </w:r>
      <w:r w:rsidR="00330022" w:rsidRPr="009B71B8">
        <w:rPr>
          <w:lang w:val="id-ID"/>
        </w:rPr>
        <w:t>belum banyak di</w:t>
      </w:r>
      <w:r w:rsidR="00F70CED" w:rsidRPr="009B71B8">
        <w:rPr>
          <w:lang w:val="id-ID"/>
        </w:rPr>
        <w:t xml:space="preserve">teliti dan </w:t>
      </w:r>
      <w:r w:rsidR="00A620DA">
        <w:rPr>
          <w:lang w:val="id-ID"/>
        </w:rPr>
        <w:t>dipeta</w:t>
      </w:r>
      <w:r w:rsidR="00C25B42">
        <w:rPr>
          <w:lang w:val="id-ID"/>
        </w:rPr>
        <w:t>k</w:t>
      </w:r>
      <w:r w:rsidR="00330022" w:rsidRPr="009B71B8">
        <w:rPr>
          <w:lang w:val="id-ID"/>
        </w:rPr>
        <w:t xml:space="preserve">an </w:t>
      </w:r>
      <w:r w:rsidR="008703BE" w:rsidRPr="009B71B8">
        <w:rPr>
          <w:lang w:val="id-ID"/>
        </w:rPr>
        <w:t xml:space="preserve">secara detail </w:t>
      </w:r>
      <w:r w:rsidR="00330022" w:rsidRPr="009B71B8">
        <w:rPr>
          <w:lang w:val="id-ID"/>
        </w:rPr>
        <w:t>di</w:t>
      </w:r>
      <w:r w:rsidR="008703BE" w:rsidRPr="009B71B8">
        <w:rPr>
          <w:lang w:val="id-ID"/>
        </w:rPr>
        <w:t xml:space="preserve"> </w:t>
      </w:r>
      <w:r w:rsidR="005A3293">
        <w:rPr>
          <w:lang w:val="id-ID"/>
        </w:rPr>
        <w:t>Indonesia. Walaupun Indonesia memiliki garis pantai yang sangat panjang, namum kecepatan angin tergolong rendah</w:t>
      </w:r>
      <w:r w:rsidR="00C26105">
        <w:rPr>
          <w:lang w:val="id-ID"/>
        </w:rPr>
        <w:t xml:space="preserve"> (Fikri</w:t>
      </w:r>
      <w:r w:rsidR="00B63E64">
        <w:rPr>
          <w:lang w:val="id-ID"/>
        </w:rPr>
        <w:t xml:space="preserve"> dan </w:t>
      </w:r>
      <w:r w:rsidR="00B63E64" w:rsidRPr="00A90A32">
        <w:rPr>
          <w:noProof/>
          <w:lang w:val="id-ID"/>
        </w:rPr>
        <w:t>Suryopratomo</w:t>
      </w:r>
      <w:r w:rsidR="00C26105">
        <w:rPr>
          <w:lang w:val="id-ID"/>
        </w:rPr>
        <w:t xml:space="preserve">, 2013). </w:t>
      </w:r>
      <w:r w:rsidR="005A3293">
        <w:rPr>
          <w:lang w:val="id-ID"/>
        </w:rPr>
        <w:t>Pengembangan turbin angin banyak dilakukan di eropa</w:t>
      </w:r>
      <w:r w:rsidR="00336246">
        <w:rPr>
          <w:lang w:val="id-ID"/>
        </w:rPr>
        <w:t xml:space="preserve"> menurut letak geografis dan aspek </w:t>
      </w:r>
      <w:r w:rsidR="00C25B42">
        <w:rPr>
          <w:lang w:val="id-ID"/>
        </w:rPr>
        <w:t xml:space="preserve">meteorologi </w:t>
      </w:r>
      <w:r w:rsidR="00336246">
        <w:rPr>
          <w:lang w:val="id-ID"/>
        </w:rPr>
        <w:t>lingkungan</w:t>
      </w:r>
      <w:r w:rsidR="006C14EE">
        <w:rPr>
          <w:lang w:val="id-ID"/>
        </w:rPr>
        <w:t xml:space="preserve"> disana</w:t>
      </w:r>
      <w:r w:rsidR="00C25B42">
        <w:rPr>
          <w:lang w:val="id-ID"/>
        </w:rPr>
        <w:t>.</w:t>
      </w:r>
      <w:r w:rsidR="00C26105">
        <w:rPr>
          <w:lang w:val="id-ID"/>
        </w:rPr>
        <w:t xml:space="preserve"> Setiap turbin </w:t>
      </w:r>
      <w:r w:rsidR="00F67B9D">
        <w:rPr>
          <w:lang w:val="id-ID"/>
        </w:rPr>
        <w:t xml:space="preserve">angin </w:t>
      </w:r>
      <w:r w:rsidR="00C26105">
        <w:rPr>
          <w:lang w:val="id-ID"/>
        </w:rPr>
        <w:t>didesain secara khusus</w:t>
      </w:r>
      <w:r w:rsidR="00F67B9D">
        <w:rPr>
          <w:lang w:val="id-ID"/>
        </w:rPr>
        <w:t xml:space="preserve"> sehingga mampu beroperasi optimal dengan kondisi meteorologi tempat dilakukan instalasi.</w:t>
      </w:r>
      <w:r w:rsidR="00BD0961">
        <w:rPr>
          <w:lang w:val="id-ID"/>
        </w:rPr>
        <w:t xml:space="preserve"> </w:t>
      </w:r>
      <w:r w:rsidR="00C5385C" w:rsidRPr="009B71B8">
        <w:rPr>
          <w:lang w:val="id-ID"/>
        </w:rPr>
        <w:t xml:space="preserve">Penelitian ini bertujuan memetakan, karakteristik dan potensi angin sebagai </w:t>
      </w:r>
      <w:r w:rsidR="00201DAC">
        <w:rPr>
          <w:lang w:val="id-ID"/>
        </w:rPr>
        <w:t xml:space="preserve">sumber </w:t>
      </w:r>
      <w:r w:rsidR="00313697">
        <w:rPr>
          <w:lang w:val="id-ID"/>
        </w:rPr>
        <w:t>EBT</w:t>
      </w:r>
      <w:r w:rsidR="004E6C1A">
        <w:rPr>
          <w:lang w:val="id-ID"/>
        </w:rPr>
        <w:t>.</w:t>
      </w:r>
      <w:r w:rsidR="0085658F">
        <w:rPr>
          <w:lang w:val="id-ID"/>
        </w:rPr>
        <w:t xml:space="preserve"> Batasan-batasan seperti ketersediaan data meteorologi didekati dengan menggunakan data satelit remote sensing.</w:t>
      </w:r>
      <w:r w:rsidR="008F13D1">
        <w:rPr>
          <w:lang w:val="id-ID"/>
        </w:rPr>
        <w:t xml:space="preserve"> Potensi estimasi daya pembangkitan secara sederhana didapat dari ketersediaan kurva-daya </w:t>
      </w:r>
      <w:r w:rsidR="00BE4F18">
        <w:rPr>
          <w:lang w:val="id-ID"/>
        </w:rPr>
        <w:t>dari model manufaktur</w:t>
      </w:r>
      <w:r w:rsidR="008B78D6">
        <w:rPr>
          <w:lang w:val="id-ID"/>
        </w:rPr>
        <w:t xml:space="preserve"> turbin angin</w:t>
      </w:r>
      <w:r w:rsidR="00BE4F18">
        <w:rPr>
          <w:lang w:val="id-ID"/>
        </w:rPr>
        <w:t>.</w:t>
      </w:r>
    </w:p>
    <w:p w:rsidR="005B39D3" w:rsidRPr="009B71B8" w:rsidRDefault="005B39D3" w:rsidP="0096248A">
      <w:pPr>
        <w:spacing w:line="360" w:lineRule="auto"/>
        <w:rPr>
          <w:b/>
          <w:lang w:val="id-ID"/>
        </w:rPr>
      </w:pPr>
      <w:r w:rsidRPr="009B71B8">
        <w:rPr>
          <w:b/>
          <w:lang w:val="id-ID"/>
        </w:rPr>
        <w:lastRenderedPageBreak/>
        <w:t>METODE PENELITIAN</w:t>
      </w:r>
    </w:p>
    <w:p w:rsidR="00C33298" w:rsidRPr="009B71B8" w:rsidRDefault="006A6022" w:rsidP="0096248A">
      <w:pPr>
        <w:spacing w:line="360" w:lineRule="auto"/>
        <w:ind w:firstLine="360"/>
        <w:jc w:val="both"/>
        <w:rPr>
          <w:lang w:val="id-ID"/>
        </w:rPr>
      </w:pPr>
      <w:r w:rsidRPr="009B71B8">
        <w:rPr>
          <w:lang w:val="id-ID"/>
        </w:rPr>
        <w:t>Data angin berupa kecepatan angin (WS</w:t>
      </w:r>
      <w:r w:rsidR="003A1D88" w:rsidRPr="009B71B8">
        <w:rPr>
          <w:lang w:val="id-ID"/>
        </w:rPr>
        <w:t xml:space="preserve"> m s</w:t>
      </w:r>
      <w:r w:rsidR="003A1D88" w:rsidRPr="009B71B8">
        <w:rPr>
          <w:vertAlign w:val="superscript"/>
          <w:lang w:val="id-ID"/>
        </w:rPr>
        <w:t>-1</w:t>
      </w:r>
      <w:r w:rsidRPr="009B71B8">
        <w:rPr>
          <w:lang w:val="id-ID"/>
        </w:rPr>
        <w:t>) dan arah angin (WD</w:t>
      </w:r>
      <w:r w:rsidR="003A1D88" w:rsidRPr="009B71B8">
        <w:rPr>
          <w:lang w:val="id-ID"/>
        </w:rPr>
        <w:t xml:space="preserve"> </w:t>
      </w:r>
      <w:r w:rsidR="003A1D88" w:rsidRPr="009B71B8">
        <w:rPr>
          <w:vertAlign w:val="superscript"/>
          <w:lang w:val="id-ID"/>
        </w:rPr>
        <w:t>o</w:t>
      </w:r>
      <w:r w:rsidRPr="009B71B8">
        <w:rPr>
          <w:lang w:val="id-ID"/>
        </w:rPr>
        <w:t xml:space="preserve">) didapat dari arsip data-data yang dipublikasikan </w:t>
      </w:r>
      <w:r w:rsidR="00AB0AFA" w:rsidRPr="009B71B8">
        <w:rPr>
          <w:lang w:val="id-ID"/>
        </w:rPr>
        <w:t xml:space="preserve">lebih dari sepuluh tahun </w:t>
      </w:r>
      <w:r w:rsidRPr="009B71B8">
        <w:rPr>
          <w:lang w:val="id-ID"/>
        </w:rPr>
        <w:t xml:space="preserve">oleh space agency dunia seperti </w:t>
      </w:r>
      <w:r w:rsidR="00AB0AFA" w:rsidRPr="009B71B8">
        <w:rPr>
          <w:lang w:val="id-ID"/>
        </w:rPr>
        <w:t>NASA Goddard Space Flight Center (GSFC), NASA Jet Propulsion Laboratory (JPL), Remote Sensing Systems (REMSS), French ERS Processing and Archiving Facility and Research Institute for Exploitation of the Sea (IFREMER/CERSAT) dan JAXA Earth Observation Research Center (EORC). Data berupa global level-3 monthly data.</w:t>
      </w:r>
      <w:r w:rsidR="00E20659" w:rsidRPr="009B71B8">
        <w:rPr>
          <w:lang w:val="id-ID"/>
        </w:rPr>
        <w:t xml:space="preserve"> Data-data</w:t>
      </w:r>
      <w:r w:rsidR="0008333C" w:rsidRPr="009B71B8">
        <w:rPr>
          <w:lang w:val="id-ID"/>
        </w:rPr>
        <w:t xml:space="preserve"> yang tersedia tidak memiliki format yang sama sehingga dilakukan proses kompilasi ulang menjadi 40 derajat latitude, 100 derajat longitude dengan ukuran grid sebesar 0.25 derajat (1</w:t>
      </w:r>
      <w:r w:rsidR="0008333C" w:rsidRPr="009B71B8">
        <w:rPr>
          <w:vertAlign w:val="superscript"/>
          <w:lang w:val="id-ID"/>
        </w:rPr>
        <w:t>o</w:t>
      </w:r>
      <w:r w:rsidR="0008333C" w:rsidRPr="009B71B8">
        <w:rPr>
          <w:lang w:val="id-ID"/>
        </w:rPr>
        <w:t xml:space="preserve"> = 111 km).</w:t>
      </w:r>
    </w:p>
    <w:p w:rsidR="00C33298" w:rsidRPr="009B71B8" w:rsidRDefault="00840D45" w:rsidP="00840D45">
      <w:pPr>
        <w:spacing w:line="360" w:lineRule="auto"/>
        <w:ind w:firstLine="360"/>
        <w:jc w:val="center"/>
        <w:rPr>
          <w:lang w:val="id-ID"/>
        </w:rPr>
      </w:pPr>
      <w:r w:rsidRPr="009B71B8">
        <w:rPr>
          <w:lang w:val="id-ID"/>
        </w:rPr>
        <w:t>Tabel 1</w:t>
      </w:r>
    </w:p>
    <w:p w:rsidR="00840D45" w:rsidRPr="009B71B8" w:rsidRDefault="00840D45" w:rsidP="00840D45">
      <w:pPr>
        <w:spacing w:line="360" w:lineRule="auto"/>
        <w:ind w:firstLine="360"/>
        <w:jc w:val="center"/>
        <w:rPr>
          <w:lang w:val="id-ID"/>
        </w:rPr>
      </w:pPr>
      <w:r w:rsidRPr="009B71B8">
        <w:rPr>
          <w:lang w:val="id-ID"/>
        </w:rPr>
        <w:t>Data dan spesifikasi teknis satellite remote sensing observasi angin</w:t>
      </w:r>
    </w:p>
    <w:tbl>
      <w:tblPr>
        <w:tblW w:w="8025" w:type="dxa"/>
        <w:jc w:val="center"/>
        <w:tblInd w:w="-1660" w:type="dxa"/>
        <w:tblBorders>
          <w:top w:val="single" w:sz="8" w:space="0" w:color="000000"/>
          <w:insideH w:val="single" w:sz="4" w:space="0" w:color="auto"/>
        </w:tblBorders>
        <w:tblLayout w:type="fixed"/>
        <w:tblCellMar>
          <w:left w:w="0" w:type="dxa"/>
          <w:right w:w="0" w:type="dxa"/>
        </w:tblCellMar>
        <w:tblLook w:val="0000"/>
      </w:tblPr>
      <w:tblGrid>
        <w:gridCol w:w="1821"/>
        <w:gridCol w:w="1458"/>
        <w:gridCol w:w="1269"/>
        <w:gridCol w:w="1608"/>
        <w:gridCol w:w="1869"/>
      </w:tblGrid>
      <w:tr w:rsidR="00C33298" w:rsidRPr="009B71B8" w:rsidTr="003F5BE9">
        <w:trPr>
          <w:jc w:val="center"/>
        </w:trPr>
        <w:tc>
          <w:tcPr>
            <w:tcW w:w="1821" w:type="dxa"/>
            <w:shd w:val="clear" w:color="auto" w:fill="auto"/>
          </w:tcPr>
          <w:p w:rsidR="00C33298" w:rsidRPr="009B71B8" w:rsidRDefault="005A3686" w:rsidP="007A49C1">
            <w:pPr>
              <w:autoSpaceDE w:val="0"/>
              <w:snapToGrid w:val="0"/>
              <w:rPr>
                <w:lang w:val="id-ID"/>
              </w:rPr>
            </w:pPr>
            <w:r w:rsidRPr="009B71B8">
              <w:rPr>
                <w:lang w:val="id-ID"/>
              </w:rPr>
              <w:t>Parameter</w:t>
            </w:r>
          </w:p>
        </w:tc>
        <w:tc>
          <w:tcPr>
            <w:tcW w:w="6204" w:type="dxa"/>
            <w:gridSpan w:val="4"/>
            <w:shd w:val="clear" w:color="auto" w:fill="auto"/>
          </w:tcPr>
          <w:p w:rsidR="00C33298" w:rsidRPr="009B71B8" w:rsidRDefault="00C33298" w:rsidP="007A49C1">
            <w:pPr>
              <w:autoSpaceDE w:val="0"/>
              <w:snapToGrid w:val="0"/>
              <w:jc w:val="center"/>
              <w:rPr>
                <w:lang w:val="id-ID"/>
              </w:rPr>
            </w:pPr>
            <w:r w:rsidRPr="009B71B8">
              <w:rPr>
                <w:lang w:val="id-ID"/>
              </w:rPr>
              <w:t>WS, U-WS, WD</w:t>
            </w:r>
          </w:p>
        </w:tc>
      </w:tr>
      <w:tr w:rsidR="00C33298" w:rsidRPr="009B71B8" w:rsidTr="003F5BE9">
        <w:trPr>
          <w:jc w:val="center"/>
        </w:trPr>
        <w:tc>
          <w:tcPr>
            <w:tcW w:w="1821" w:type="dxa"/>
            <w:shd w:val="clear" w:color="auto" w:fill="auto"/>
          </w:tcPr>
          <w:p w:rsidR="00C33298" w:rsidRPr="009B71B8" w:rsidRDefault="00C33298" w:rsidP="007A49C1">
            <w:pPr>
              <w:autoSpaceDE w:val="0"/>
              <w:snapToGrid w:val="0"/>
              <w:rPr>
                <w:lang w:val="id-ID"/>
              </w:rPr>
            </w:pPr>
            <w:r w:rsidRPr="009B71B8">
              <w:rPr>
                <w:lang w:val="id-ID"/>
              </w:rPr>
              <w:t>Unit</w:t>
            </w:r>
          </w:p>
        </w:tc>
        <w:tc>
          <w:tcPr>
            <w:tcW w:w="6204" w:type="dxa"/>
            <w:gridSpan w:val="4"/>
            <w:shd w:val="clear" w:color="auto" w:fill="auto"/>
          </w:tcPr>
          <w:p w:rsidR="00C33298" w:rsidRPr="009B71B8" w:rsidRDefault="00C33298" w:rsidP="007A49C1">
            <w:pPr>
              <w:autoSpaceDE w:val="0"/>
              <w:snapToGrid w:val="0"/>
              <w:jc w:val="center"/>
              <w:rPr>
                <w:lang w:val="id-ID"/>
              </w:rPr>
            </w:pPr>
            <w:r w:rsidRPr="009B71B8">
              <w:rPr>
                <w:lang w:val="id-ID"/>
              </w:rPr>
              <w:t>(</w:t>
            </w:r>
            <w:r w:rsidRPr="009B71B8">
              <w:rPr>
                <w:iCs/>
                <w:lang w:val="id-ID"/>
              </w:rPr>
              <w:t>m s</w:t>
            </w:r>
            <w:r w:rsidRPr="009B71B8">
              <w:rPr>
                <w:vertAlign w:val="superscript"/>
                <w:lang w:val="id-ID"/>
              </w:rPr>
              <w:t>–</w:t>
            </w:r>
            <w:r w:rsidRPr="009B71B8">
              <w:rPr>
                <w:iCs/>
                <w:vertAlign w:val="superscript"/>
                <w:lang w:val="id-ID"/>
              </w:rPr>
              <w:t>1</w:t>
            </w:r>
            <w:r w:rsidRPr="009B71B8">
              <w:rPr>
                <w:iCs/>
                <w:lang w:val="id-ID"/>
              </w:rPr>
              <w:t xml:space="preserve">), </w:t>
            </w:r>
            <w:r w:rsidRPr="009B71B8">
              <w:rPr>
                <w:lang w:val="id-ID"/>
              </w:rPr>
              <w:t>(</w:t>
            </w:r>
            <w:r w:rsidRPr="009B71B8">
              <w:rPr>
                <w:iCs/>
                <w:lang w:val="id-ID"/>
              </w:rPr>
              <w:t>m s</w:t>
            </w:r>
            <w:r w:rsidRPr="009B71B8">
              <w:rPr>
                <w:vertAlign w:val="superscript"/>
                <w:lang w:val="id-ID"/>
              </w:rPr>
              <w:t>–</w:t>
            </w:r>
            <w:r w:rsidRPr="009B71B8">
              <w:rPr>
                <w:iCs/>
                <w:vertAlign w:val="superscript"/>
                <w:lang w:val="id-ID"/>
              </w:rPr>
              <w:t>1</w:t>
            </w:r>
            <w:r w:rsidRPr="009B71B8">
              <w:rPr>
                <w:iCs/>
                <w:lang w:val="id-ID"/>
              </w:rPr>
              <w:t xml:space="preserve">), </w:t>
            </w:r>
            <w:r w:rsidRPr="009B71B8">
              <w:rPr>
                <w:lang w:val="id-ID"/>
              </w:rPr>
              <w:t>(</w:t>
            </w:r>
            <w:r w:rsidRPr="009B71B8">
              <w:rPr>
                <w:iCs/>
                <w:vertAlign w:val="superscript"/>
                <w:lang w:val="id-ID"/>
              </w:rPr>
              <w:t>o</w:t>
            </w:r>
            <w:r w:rsidRPr="009B71B8">
              <w:rPr>
                <w:iCs/>
                <w:lang w:val="id-ID"/>
              </w:rPr>
              <w:t>)</w:t>
            </w:r>
          </w:p>
        </w:tc>
      </w:tr>
      <w:tr w:rsidR="00C33298" w:rsidRPr="009B71B8" w:rsidTr="003F5BE9">
        <w:trPr>
          <w:jc w:val="center"/>
        </w:trPr>
        <w:tc>
          <w:tcPr>
            <w:tcW w:w="1821" w:type="dxa"/>
            <w:shd w:val="clear" w:color="auto" w:fill="auto"/>
          </w:tcPr>
          <w:p w:rsidR="00C33298" w:rsidRPr="009B71B8" w:rsidRDefault="00C33298" w:rsidP="007A49C1">
            <w:pPr>
              <w:autoSpaceDE w:val="0"/>
              <w:snapToGrid w:val="0"/>
              <w:rPr>
                <w:lang w:val="id-ID"/>
              </w:rPr>
            </w:pPr>
            <w:r w:rsidRPr="009B71B8">
              <w:rPr>
                <w:lang w:val="id-ID"/>
              </w:rPr>
              <w:t>Sensor</w:t>
            </w:r>
          </w:p>
        </w:tc>
        <w:tc>
          <w:tcPr>
            <w:tcW w:w="1458" w:type="dxa"/>
            <w:shd w:val="clear" w:color="auto" w:fill="auto"/>
          </w:tcPr>
          <w:p w:rsidR="00C33298" w:rsidRPr="009B71B8" w:rsidRDefault="00C33298" w:rsidP="007A49C1">
            <w:pPr>
              <w:autoSpaceDE w:val="0"/>
              <w:snapToGrid w:val="0"/>
              <w:jc w:val="center"/>
              <w:rPr>
                <w:lang w:val="id-ID"/>
              </w:rPr>
            </w:pPr>
            <w:r w:rsidRPr="009B71B8">
              <w:rPr>
                <w:lang w:val="id-ID"/>
              </w:rPr>
              <w:t>NSCAT</w:t>
            </w:r>
          </w:p>
        </w:tc>
        <w:tc>
          <w:tcPr>
            <w:tcW w:w="1269" w:type="dxa"/>
          </w:tcPr>
          <w:p w:rsidR="00C33298" w:rsidRPr="009B71B8" w:rsidRDefault="00C33298" w:rsidP="007A49C1">
            <w:pPr>
              <w:autoSpaceDE w:val="0"/>
              <w:snapToGrid w:val="0"/>
              <w:jc w:val="center"/>
              <w:rPr>
                <w:lang w:val="id-ID"/>
              </w:rPr>
            </w:pPr>
            <w:r w:rsidRPr="009B71B8">
              <w:rPr>
                <w:lang w:val="id-ID"/>
              </w:rPr>
              <w:t>SSM/I</w:t>
            </w:r>
          </w:p>
        </w:tc>
        <w:tc>
          <w:tcPr>
            <w:tcW w:w="1608" w:type="dxa"/>
          </w:tcPr>
          <w:p w:rsidR="00C33298" w:rsidRPr="009B71B8" w:rsidRDefault="00C33298" w:rsidP="007A49C1">
            <w:pPr>
              <w:autoSpaceDE w:val="0"/>
              <w:snapToGrid w:val="0"/>
              <w:jc w:val="center"/>
              <w:rPr>
                <w:lang w:val="id-ID"/>
              </w:rPr>
            </w:pPr>
            <w:r w:rsidRPr="009B71B8">
              <w:rPr>
                <w:lang w:val="id-ID"/>
              </w:rPr>
              <w:t>AMI</w:t>
            </w:r>
          </w:p>
        </w:tc>
        <w:tc>
          <w:tcPr>
            <w:tcW w:w="1869" w:type="dxa"/>
          </w:tcPr>
          <w:p w:rsidR="00C33298" w:rsidRPr="009B71B8" w:rsidRDefault="00C33298" w:rsidP="007A49C1">
            <w:pPr>
              <w:autoSpaceDE w:val="0"/>
              <w:snapToGrid w:val="0"/>
              <w:jc w:val="center"/>
              <w:rPr>
                <w:lang w:val="id-ID"/>
              </w:rPr>
            </w:pPr>
            <w:r w:rsidRPr="009B71B8">
              <w:rPr>
                <w:lang w:val="id-ID"/>
              </w:rPr>
              <w:t>SeaWinds</w:t>
            </w:r>
          </w:p>
        </w:tc>
      </w:tr>
      <w:tr w:rsidR="00C33298" w:rsidRPr="009B71B8" w:rsidTr="003F5BE9">
        <w:trPr>
          <w:jc w:val="center"/>
        </w:trPr>
        <w:tc>
          <w:tcPr>
            <w:tcW w:w="1821" w:type="dxa"/>
            <w:shd w:val="clear" w:color="auto" w:fill="auto"/>
          </w:tcPr>
          <w:p w:rsidR="00C33298" w:rsidRPr="009B71B8" w:rsidRDefault="00C33298" w:rsidP="007A49C1">
            <w:pPr>
              <w:autoSpaceDE w:val="0"/>
              <w:snapToGrid w:val="0"/>
              <w:rPr>
                <w:lang w:val="id-ID"/>
              </w:rPr>
            </w:pPr>
            <w:r w:rsidRPr="009B71B8">
              <w:rPr>
                <w:lang w:val="id-ID"/>
              </w:rPr>
              <w:t>Satel</w:t>
            </w:r>
            <w:r w:rsidR="005A3686" w:rsidRPr="009B71B8">
              <w:rPr>
                <w:lang w:val="id-ID"/>
              </w:rPr>
              <w:t>it</w:t>
            </w:r>
          </w:p>
        </w:tc>
        <w:tc>
          <w:tcPr>
            <w:tcW w:w="1458" w:type="dxa"/>
            <w:shd w:val="clear" w:color="auto" w:fill="auto"/>
          </w:tcPr>
          <w:p w:rsidR="00C33298" w:rsidRPr="009B71B8" w:rsidRDefault="00C33298" w:rsidP="007A49C1">
            <w:pPr>
              <w:autoSpaceDE w:val="0"/>
              <w:snapToGrid w:val="0"/>
              <w:jc w:val="center"/>
              <w:rPr>
                <w:lang w:val="id-ID"/>
              </w:rPr>
            </w:pPr>
            <w:r w:rsidRPr="009B71B8">
              <w:rPr>
                <w:lang w:val="id-ID"/>
              </w:rPr>
              <w:t>ADEOS</w:t>
            </w:r>
          </w:p>
        </w:tc>
        <w:tc>
          <w:tcPr>
            <w:tcW w:w="1269" w:type="dxa"/>
          </w:tcPr>
          <w:p w:rsidR="00C33298" w:rsidRPr="009B71B8" w:rsidRDefault="00C33298" w:rsidP="007A49C1">
            <w:pPr>
              <w:autoSpaceDE w:val="0"/>
              <w:snapToGrid w:val="0"/>
              <w:jc w:val="center"/>
              <w:rPr>
                <w:lang w:val="id-ID"/>
              </w:rPr>
            </w:pPr>
            <w:r w:rsidRPr="009B71B8">
              <w:rPr>
                <w:lang w:val="id-ID"/>
              </w:rPr>
              <w:t>DMSP</w:t>
            </w:r>
          </w:p>
        </w:tc>
        <w:tc>
          <w:tcPr>
            <w:tcW w:w="1608" w:type="dxa"/>
          </w:tcPr>
          <w:p w:rsidR="00C33298" w:rsidRPr="009B71B8" w:rsidRDefault="00C33298" w:rsidP="007A49C1">
            <w:pPr>
              <w:autoSpaceDE w:val="0"/>
              <w:snapToGrid w:val="0"/>
              <w:jc w:val="center"/>
              <w:rPr>
                <w:lang w:val="id-ID"/>
              </w:rPr>
            </w:pPr>
            <w:r w:rsidRPr="009B71B8">
              <w:rPr>
                <w:lang w:val="id-ID"/>
              </w:rPr>
              <w:t>ERS</w:t>
            </w:r>
          </w:p>
        </w:tc>
        <w:tc>
          <w:tcPr>
            <w:tcW w:w="1869" w:type="dxa"/>
          </w:tcPr>
          <w:p w:rsidR="00C33298" w:rsidRPr="009B71B8" w:rsidRDefault="00C33298" w:rsidP="007A49C1">
            <w:pPr>
              <w:autoSpaceDE w:val="0"/>
              <w:snapToGrid w:val="0"/>
              <w:jc w:val="center"/>
              <w:rPr>
                <w:lang w:val="id-ID"/>
              </w:rPr>
            </w:pPr>
            <w:r w:rsidRPr="009B71B8">
              <w:rPr>
                <w:lang w:val="id-ID"/>
              </w:rPr>
              <w:t>QuickSCAT</w:t>
            </w:r>
          </w:p>
        </w:tc>
      </w:tr>
      <w:tr w:rsidR="00C33298" w:rsidRPr="009B71B8" w:rsidTr="003F5BE9">
        <w:trPr>
          <w:jc w:val="center"/>
        </w:trPr>
        <w:tc>
          <w:tcPr>
            <w:tcW w:w="1821" w:type="dxa"/>
            <w:shd w:val="clear" w:color="auto" w:fill="auto"/>
          </w:tcPr>
          <w:p w:rsidR="00C33298" w:rsidRPr="009B71B8" w:rsidRDefault="005A3686" w:rsidP="007A49C1">
            <w:pPr>
              <w:autoSpaceDE w:val="0"/>
              <w:snapToGrid w:val="0"/>
              <w:rPr>
                <w:lang w:val="id-ID"/>
              </w:rPr>
            </w:pPr>
            <w:r w:rsidRPr="009B71B8">
              <w:rPr>
                <w:lang w:val="id-ID"/>
              </w:rPr>
              <w:t>Tahun</w:t>
            </w:r>
          </w:p>
        </w:tc>
        <w:tc>
          <w:tcPr>
            <w:tcW w:w="1458" w:type="dxa"/>
            <w:shd w:val="clear" w:color="auto" w:fill="auto"/>
          </w:tcPr>
          <w:p w:rsidR="00C33298" w:rsidRPr="009B71B8" w:rsidRDefault="00C33298" w:rsidP="007A49C1">
            <w:pPr>
              <w:autoSpaceDE w:val="0"/>
              <w:snapToGrid w:val="0"/>
              <w:jc w:val="center"/>
              <w:rPr>
                <w:lang w:val="id-ID"/>
              </w:rPr>
            </w:pPr>
            <w:r w:rsidRPr="009B71B8">
              <w:rPr>
                <w:lang w:val="id-ID"/>
              </w:rPr>
              <w:t>1997</w:t>
            </w:r>
          </w:p>
        </w:tc>
        <w:tc>
          <w:tcPr>
            <w:tcW w:w="1269" w:type="dxa"/>
          </w:tcPr>
          <w:p w:rsidR="00C33298" w:rsidRPr="009B71B8" w:rsidRDefault="00C33298" w:rsidP="007A49C1">
            <w:pPr>
              <w:autoSpaceDE w:val="0"/>
              <w:snapToGrid w:val="0"/>
              <w:jc w:val="center"/>
              <w:rPr>
                <w:lang w:val="id-ID"/>
              </w:rPr>
            </w:pPr>
            <w:r w:rsidRPr="009B71B8">
              <w:rPr>
                <w:lang w:val="id-ID"/>
              </w:rPr>
              <w:t>1998–1999</w:t>
            </w:r>
          </w:p>
        </w:tc>
        <w:tc>
          <w:tcPr>
            <w:tcW w:w="1608" w:type="dxa"/>
          </w:tcPr>
          <w:p w:rsidR="00C33298" w:rsidRPr="009B71B8" w:rsidRDefault="00C33298" w:rsidP="007A49C1">
            <w:pPr>
              <w:autoSpaceDE w:val="0"/>
              <w:snapToGrid w:val="0"/>
              <w:jc w:val="center"/>
              <w:rPr>
                <w:lang w:val="id-ID"/>
              </w:rPr>
            </w:pPr>
            <w:r w:rsidRPr="009B71B8">
              <w:rPr>
                <w:lang w:val="id-ID"/>
              </w:rPr>
              <w:t>1997–1999</w:t>
            </w:r>
          </w:p>
        </w:tc>
        <w:tc>
          <w:tcPr>
            <w:tcW w:w="1869" w:type="dxa"/>
          </w:tcPr>
          <w:p w:rsidR="00C33298" w:rsidRPr="009B71B8" w:rsidRDefault="00C33298" w:rsidP="007A49C1">
            <w:pPr>
              <w:autoSpaceDE w:val="0"/>
              <w:snapToGrid w:val="0"/>
              <w:jc w:val="center"/>
              <w:rPr>
                <w:lang w:val="id-ID"/>
              </w:rPr>
            </w:pPr>
            <w:r w:rsidRPr="009B71B8">
              <w:rPr>
                <w:lang w:val="id-ID"/>
              </w:rPr>
              <w:t>1999–2009</w:t>
            </w:r>
          </w:p>
        </w:tc>
      </w:tr>
      <w:tr w:rsidR="00C33298" w:rsidRPr="009B71B8" w:rsidTr="003F5BE9">
        <w:trPr>
          <w:jc w:val="center"/>
        </w:trPr>
        <w:tc>
          <w:tcPr>
            <w:tcW w:w="1821" w:type="dxa"/>
            <w:shd w:val="clear" w:color="auto" w:fill="auto"/>
          </w:tcPr>
          <w:p w:rsidR="00C33298" w:rsidRPr="009B71B8" w:rsidRDefault="005A3686" w:rsidP="007A49C1">
            <w:pPr>
              <w:autoSpaceDE w:val="0"/>
              <w:snapToGrid w:val="0"/>
              <w:rPr>
                <w:lang w:val="id-ID"/>
              </w:rPr>
            </w:pPr>
            <w:r w:rsidRPr="009B71B8">
              <w:rPr>
                <w:lang w:val="id-ID"/>
              </w:rPr>
              <w:t>Spas</w:t>
            </w:r>
            <w:r w:rsidR="00C33298" w:rsidRPr="009B71B8">
              <w:rPr>
                <w:lang w:val="id-ID"/>
              </w:rPr>
              <w:t>ial</w:t>
            </w:r>
          </w:p>
        </w:tc>
        <w:tc>
          <w:tcPr>
            <w:tcW w:w="1458" w:type="dxa"/>
            <w:shd w:val="clear" w:color="auto" w:fill="auto"/>
          </w:tcPr>
          <w:p w:rsidR="00C33298" w:rsidRPr="009B71B8" w:rsidRDefault="00C33298" w:rsidP="007A49C1">
            <w:pPr>
              <w:autoSpaceDE w:val="0"/>
              <w:snapToGrid w:val="0"/>
              <w:jc w:val="center"/>
              <w:rPr>
                <w:vertAlign w:val="superscript"/>
                <w:lang w:val="id-ID"/>
              </w:rPr>
            </w:pPr>
            <w:r w:rsidRPr="009B71B8">
              <w:rPr>
                <w:lang w:val="id-ID"/>
              </w:rPr>
              <w:t>1</w:t>
            </w:r>
            <w:r w:rsidRPr="009B71B8">
              <w:rPr>
                <w:vertAlign w:val="superscript"/>
                <w:lang w:val="id-ID"/>
              </w:rPr>
              <w:t>o</w:t>
            </w:r>
          </w:p>
        </w:tc>
        <w:tc>
          <w:tcPr>
            <w:tcW w:w="1269" w:type="dxa"/>
          </w:tcPr>
          <w:p w:rsidR="00C33298" w:rsidRPr="009B71B8" w:rsidRDefault="00C33298" w:rsidP="007A49C1">
            <w:pPr>
              <w:autoSpaceDE w:val="0"/>
              <w:snapToGrid w:val="0"/>
              <w:jc w:val="center"/>
              <w:rPr>
                <w:lang w:val="id-ID"/>
              </w:rPr>
            </w:pPr>
            <w:r w:rsidRPr="009B71B8">
              <w:rPr>
                <w:lang w:val="id-ID"/>
              </w:rPr>
              <w:t>0.25</w:t>
            </w:r>
            <w:r w:rsidRPr="009B71B8">
              <w:rPr>
                <w:vertAlign w:val="superscript"/>
                <w:lang w:val="id-ID"/>
              </w:rPr>
              <w:t>o</w:t>
            </w:r>
          </w:p>
        </w:tc>
        <w:tc>
          <w:tcPr>
            <w:tcW w:w="1608" w:type="dxa"/>
          </w:tcPr>
          <w:p w:rsidR="00C33298" w:rsidRPr="009B71B8" w:rsidRDefault="00C33298" w:rsidP="007A49C1">
            <w:pPr>
              <w:autoSpaceDE w:val="0"/>
              <w:snapToGrid w:val="0"/>
              <w:jc w:val="center"/>
              <w:rPr>
                <w:lang w:val="id-ID"/>
              </w:rPr>
            </w:pPr>
            <w:r w:rsidRPr="009B71B8">
              <w:rPr>
                <w:lang w:val="id-ID"/>
              </w:rPr>
              <w:t>1</w:t>
            </w:r>
            <w:r w:rsidRPr="009B71B8">
              <w:rPr>
                <w:vertAlign w:val="superscript"/>
                <w:lang w:val="id-ID"/>
              </w:rPr>
              <w:t>o</w:t>
            </w:r>
          </w:p>
        </w:tc>
        <w:tc>
          <w:tcPr>
            <w:tcW w:w="1869" w:type="dxa"/>
          </w:tcPr>
          <w:p w:rsidR="00C33298" w:rsidRPr="009B71B8" w:rsidRDefault="00C33298" w:rsidP="007A49C1">
            <w:pPr>
              <w:autoSpaceDE w:val="0"/>
              <w:snapToGrid w:val="0"/>
              <w:jc w:val="center"/>
              <w:rPr>
                <w:lang w:val="id-ID"/>
              </w:rPr>
            </w:pPr>
            <w:r w:rsidRPr="009B71B8">
              <w:rPr>
                <w:lang w:val="id-ID"/>
              </w:rPr>
              <w:t>0.25</w:t>
            </w:r>
            <w:r w:rsidRPr="009B71B8">
              <w:rPr>
                <w:vertAlign w:val="superscript"/>
                <w:lang w:val="id-ID"/>
              </w:rPr>
              <w:t>o</w:t>
            </w:r>
          </w:p>
        </w:tc>
      </w:tr>
      <w:tr w:rsidR="00C33298" w:rsidRPr="009B71B8" w:rsidTr="003F5BE9">
        <w:trPr>
          <w:jc w:val="center"/>
        </w:trPr>
        <w:tc>
          <w:tcPr>
            <w:tcW w:w="1821" w:type="dxa"/>
            <w:shd w:val="clear" w:color="auto" w:fill="auto"/>
          </w:tcPr>
          <w:p w:rsidR="00C33298" w:rsidRPr="009B71B8" w:rsidRDefault="00C33298" w:rsidP="007A49C1">
            <w:pPr>
              <w:autoSpaceDE w:val="0"/>
              <w:snapToGrid w:val="0"/>
              <w:rPr>
                <w:lang w:val="id-ID"/>
              </w:rPr>
            </w:pPr>
            <w:r w:rsidRPr="009B71B8">
              <w:rPr>
                <w:lang w:val="id-ID"/>
              </w:rPr>
              <w:t>resolu</w:t>
            </w:r>
            <w:r w:rsidR="005A3686" w:rsidRPr="009B71B8">
              <w:rPr>
                <w:lang w:val="id-ID"/>
              </w:rPr>
              <w:t>si</w:t>
            </w:r>
          </w:p>
        </w:tc>
        <w:tc>
          <w:tcPr>
            <w:tcW w:w="1458" w:type="dxa"/>
            <w:shd w:val="clear" w:color="auto" w:fill="auto"/>
          </w:tcPr>
          <w:p w:rsidR="00C33298" w:rsidRPr="009B71B8" w:rsidRDefault="00C33298" w:rsidP="007A49C1">
            <w:pPr>
              <w:autoSpaceDE w:val="0"/>
              <w:snapToGrid w:val="0"/>
              <w:jc w:val="center"/>
              <w:rPr>
                <w:lang w:val="id-ID"/>
              </w:rPr>
            </w:pPr>
          </w:p>
        </w:tc>
        <w:tc>
          <w:tcPr>
            <w:tcW w:w="1269" w:type="dxa"/>
          </w:tcPr>
          <w:p w:rsidR="00C33298" w:rsidRPr="009B71B8" w:rsidRDefault="00C33298" w:rsidP="007A49C1">
            <w:pPr>
              <w:autoSpaceDE w:val="0"/>
              <w:snapToGrid w:val="0"/>
              <w:jc w:val="center"/>
              <w:rPr>
                <w:lang w:val="id-ID"/>
              </w:rPr>
            </w:pPr>
          </w:p>
        </w:tc>
        <w:tc>
          <w:tcPr>
            <w:tcW w:w="1608" w:type="dxa"/>
          </w:tcPr>
          <w:p w:rsidR="00C33298" w:rsidRPr="009B71B8" w:rsidRDefault="00C33298" w:rsidP="007A49C1">
            <w:pPr>
              <w:autoSpaceDE w:val="0"/>
              <w:snapToGrid w:val="0"/>
              <w:jc w:val="center"/>
              <w:rPr>
                <w:lang w:val="id-ID"/>
              </w:rPr>
            </w:pPr>
          </w:p>
        </w:tc>
        <w:tc>
          <w:tcPr>
            <w:tcW w:w="1869" w:type="dxa"/>
          </w:tcPr>
          <w:p w:rsidR="00C33298" w:rsidRPr="009B71B8" w:rsidRDefault="00C33298" w:rsidP="007A49C1">
            <w:pPr>
              <w:autoSpaceDE w:val="0"/>
              <w:snapToGrid w:val="0"/>
              <w:jc w:val="center"/>
              <w:rPr>
                <w:lang w:val="id-ID"/>
              </w:rPr>
            </w:pPr>
          </w:p>
        </w:tc>
      </w:tr>
      <w:tr w:rsidR="00C33298" w:rsidRPr="009B71B8" w:rsidTr="003F5BE9">
        <w:trPr>
          <w:jc w:val="center"/>
        </w:trPr>
        <w:tc>
          <w:tcPr>
            <w:tcW w:w="1821" w:type="dxa"/>
            <w:shd w:val="clear" w:color="auto" w:fill="auto"/>
          </w:tcPr>
          <w:p w:rsidR="00C33298" w:rsidRPr="009B71B8" w:rsidRDefault="00C33298" w:rsidP="007A49C1">
            <w:pPr>
              <w:autoSpaceDE w:val="0"/>
              <w:snapToGrid w:val="0"/>
              <w:rPr>
                <w:lang w:val="id-ID"/>
              </w:rPr>
            </w:pPr>
            <w:r w:rsidRPr="009B71B8">
              <w:rPr>
                <w:lang w:val="id-ID"/>
              </w:rPr>
              <w:t>Swath</w:t>
            </w:r>
          </w:p>
        </w:tc>
        <w:tc>
          <w:tcPr>
            <w:tcW w:w="1458" w:type="dxa"/>
            <w:shd w:val="clear" w:color="auto" w:fill="auto"/>
          </w:tcPr>
          <w:p w:rsidR="00C33298" w:rsidRPr="009B71B8" w:rsidRDefault="00C33298" w:rsidP="007A49C1">
            <w:pPr>
              <w:autoSpaceDE w:val="0"/>
              <w:snapToGrid w:val="0"/>
              <w:jc w:val="center"/>
              <w:rPr>
                <w:iCs/>
                <w:lang w:val="id-ID"/>
              </w:rPr>
            </w:pPr>
            <w:r w:rsidRPr="009B71B8">
              <w:rPr>
                <w:lang w:val="id-ID"/>
              </w:rPr>
              <w:t>600 km</w:t>
            </w:r>
          </w:p>
        </w:tc>
        <w:tc>
          <w:tcPr>
            <w:tcW w:w="1269" w:type="dxa"/>
          </w:tcPr>
          <w:p w:rsidR="00C33298" w:rsidRPr="009B71B8" w:rsidRDefault="00C33298" w:rsidP="007A49C1">
            <w:pPr>
              <w:autoSpaceDE w:val="0"/>
              <w:snapToGrid w:val="0"/>
              <w:jc w:val="center"/>
              <w:rPr>
                <w:lang w:val="id-ID"/>
              </w:rPr>
            </w:pPr>
            <w:r w:rsidRPr="009B71B8">
              <w:rPr>
                <w:lang w:val="id-ID"/>
              </w:rPr>
              <w:t xml:space="preserve">1400 </w:t>
            </w:r>
            <w:r w:rsidRPr="009B71B8">
              <w:rPr>
                <w:iCs/>
                <w:lang w:val="id-ID"/>
              </w:rPr>
              <w:t>km</w:t>
            </w:r>
          </w:p>
        </w:tc>
        <w:tc>
          <w:tcPr>
            <w:tcW w:w="1608" w:type="dxa"/>
          </w:tcPr>
          <w:p w:rsidR="00C33298" w:rsidRPr="009B71B8" w:rsidRDefault="00C33298" w:rsidP="007A49C1">
            <w:pPr>
              <w:autoSpaceDE w:val="0"/>
              <w:snapToGrid w:val="0"/>
              <w:jc w:val="center"/>
              <w:rPr>
                <w:lang w:val="id-ID"/>
              </w:rPr>
            </w:pPr>
            <w:r w:rsidRPr="009B71B8">
              <w:rPr>
                <w:lang w:val="id-ID"/>
              </w:rPr>
              <w:t>500 km</w:t>
            </w:r>
          </w:p>
        </w:tc>
        <w:tc>
          <w:tcPr>
            <w:tcW w:w="1869" w:type="dxa"/>
          </w:tcPr>
          <w:p w:rsidR="00C33298" w:rsidRPr="009B71B8" w:rsidRDefault="00C33298" w:rsidP="007A49C1">
            <w:pPr>
              <w:autoSpaceDE w:val="0"/>
              <w:snapToGrid w:val="0"/>
              <w:jc w:val="center"/>
              <w:rPr>
                <w:lang w:val="id-ID"/>
              </w:rPr>
            </w:pPr>
            <w:r w:rsidRPr="009B71B8">
              <w:rPr>
                <w:lang w:val="id-ID"/>
              </w:rPr>
              <w:t xml:space="preserve">1800 </w:t>
            </w:r>
            <w:r w:rsidRPr="009B71B8">
              <w:rPr>
                <w:iCs/>
                <w:lang w:val="id-ID"/>
              </w:rPr>
              <w:t>km</w:t>
            </w:r>
          </w:p>
        </w:tc>
      </w:tr>
      <w:tr w:rsidR="00C33298" w:rsidRPr="009B71B8" w:rsidTr="003F5BE9">
        <w:trPr>
          <w:jc w:val="center"/>
        </w:trPr>
        <w:tc>
          <w:tcPr>
            <w:tcW w:w="1821" w:type="dxa"/>
            <w:shd w:val="clear" w:color="auto" w:fill="auto"/>
          </w:tcPr>
          <w:p w:rsidR="00C33298" w:rsidRPr="009B71B8" w:rsidRDefault="00C33298" w:rsidP="007A49C1">
            <w:pPr>
              <w:autoSpaceDE w:val="0"/>
              <w:snapToGrid w:val="0"/>
              <w:rPr>
                <w:lang w:val="id-ID"/>
              </w:rPr>
            </w:pPr>
          </w:p>
        </w:tc>
        <w:tc>
          <w:tcPr>
            <w:tcW w:w="1458" w:type="dxa"/>
            <w:shd w:val="clear" w:color="auto" w:fill="auto"/>
          </w:tcPr>
          <w:p w:rsidR="00C33298" w:rsidRPr="009B71B8" w:rsidRDefault="00C33298" w:rsidP="007A49C1">
            <w:pPr>
              <w:autoSpaceDE w:val="0"/>
              <w:snapToGrid w:val="0"/>
              <w:jc w:val="center"/>
              <w:rPr>
                <w:iCs/>
                <w:lang w:val="id-ID"/>
              </w:rPr>
            </w:pPr>
          </w:p>
        </w:tc>
        <w:tc>
          <w:tcPr>
            <w:tcW w:w="1269" w:type="dxa"/>
          </w:tcPr>
          <w:p w:rsidR="00C33298" w:rsidRPr="009B71B8" w:rsidRDefault="00C33298" w:rsidP="007A49C1">
            <w:pPr>
              <w:autoSpaceDE w:val="0"/>
              <w:snapToGrid w:val="0"/>
              <w:jc w:val="center"/>
              <w:rPr>
                <w:lang w:val="id-ID"/>
              </w:rPr>
            </w:pPr>
          </w:p>
        </w:tc>
        <w:tc>
          <w:tcPr>
            <w:tcW w:w="1608" w:type="dxa"/>
          </w:tcPr>
          <w:p w:rsidR="00C33298" w:rsidRPr="009B71B8" w:rsidRDefault="00C33298" w:rsidP="007A49C1">
            <w:pPr>
              <w:autoSpaceDE w:val="0"/>
              <w:snapToGrid w:val="0"/>
              <w:jc w:val="center"/>
              <w:rPr>
                <w:lang w:val="id-ID"/>
              </w:rPr>
            </w:pPr>
          </w:p>
        </w:tc>
        <w:tc>
          <w:tcPr>
            <w:tcW w:w="1869" w:type="dxa"/>
          </w:tcPr>
          <w:p w:rsidR="00C33298" w:rsidRPr="009B71B8" w:rsidRDefault="00C33298" w:rsidP="007A49C1">
            <w:pPr>
              <w:autoSpaceDE w:val="0"/>
              <w:snapToGrid w:val="0"/>
              <w:jc w:val="center"/>
              <w:rPr>
                <w:lang w:val="id-ID"/>
              </w:rPr>
            </w:pPr>
          </w:p>
        </w:tc>
      </w:tr>
      <w:tr w:rsidR="00C33298" w:rsidRPr="009B71B8" w:rsidTr="003F5BE9">
        <w:trPr>
          <w:jc w:val="center"/>
        </w:trPr>
        <w:tc>
          <w:tcPr>
            <w:tcW w:w="1821" w:type="dxa"/>
            <w:shd w:val="clear" w:color="auto" w:fill="auto"/>
          </w:tcPr>
          <w:p w:rsidR="00C33298" w:rsidRPr="009B71B8" w:rsidRDefault="00C33298" w:rsidP="007A49C1">
            <w:pPr>
              <w:autoSpaceDE w:val="0"/>
              <w:snapToGrid w:val="0"/>
              <w:rPr>
                <w:lang w:val="id-ID"/>
              </w:rPr>
            </w:pPr>
            <w:r w:rsidRPr="009B71B8">
              <w:rPr>
                <w:lang w:val="id-ID"/>
              </w:rPr>
              <w:t>Orbit cycle</w:t>
            </w:r>
          </w:p>
        </w:tc>
        <w:tc>
          <w:tcPr>
            <w:tcW w:w="1458" w:type="dxa"/>
            <w:shd w:val="clear" w:color="auto" w:fill="auto"/>
          </w:tcPr>
          <w:p w:rsidR="00C33298" w:rsidRPr="009B71B8" w:rsidRDefault="00C33298" w:rsidP="007A49C1">
            <w:pPr>
              <w:autoSpaceDE w:val="0"/>
              <w:snapToGrid w:val="0"/>
              <w:jc w:val="center"/>
              <w:rPr>
                <w:iCs/>
                <w:lang w:val="id-ID"/>
              </w:rPr>
            </w:pPr>
            <w:r w:rsidRPr="009B71B8">
              <w:rPr>
                <w:lang w:val="id-ID"/>
              </w:rPr>
              <w:t xml:space="preserve">1 </w:t>
            </w:r>
            <w:r w:rsidRPr="009B71B8">
              <w:rPr>
                <w:iCs/>
                <w:lang w:val="id-ID"/>
              </w:rPr>
              <w:t>day</w:t>
            </w:r>
          </w:p>
        </w:tc>
        <w:tc>
          <w:tcPr>
            <w:tcW w:w="1269" w:type="dxa"/>
          </w:tcPr>
          <w:p w:rsidR="00C33298" w:rsidRPr="009B71B8" w:rsidRDefault="00C33298" w:rsidP="007A49C1">
            <w:pPr>
              <w:autoSpaceDE w:val="0"/>
              <w:snapToGrid w:val="0"/>
              <w:jc w:val="center"/>
              <w:rPr>
                <w:lang w:val="id-ID"/>
              </w:rPr>
            </w:pPr>
            <w:r w:rsidRPr="009B71B8">
              <w:rPr>
                <w:lang w:val="id-ID"/>
              </w:rPr>
              <w:t xml:space="preserve">1 </w:t>
            </w:r>
            <w:r w:rsidRPr="009B71B8">
              <w:rPr>
                <w:iCs/>
                <w:lang w:val="id-ID"/>
              </w:rPr>
              <w:t>day</w:t>
            </w:r>
          </w:p>
        </w:tc>
        <w:tc>
          <w:tcPr>
            <w:tcW w:w="1608" w:type="dxa"/>
          </w:tcPr>
          <w:p w:rsidR="00C33298" w:rsidRPr="009B71B8" w:rsidRDefault="00C33298" w:rsidP="007A49C1">
            <w:pPr>
              <w:autoSpaceDE w:val="0"/>
              <w:snapToGrid w:val="0"/>
              <w:jc w:val="center"/>
              <w:rPr>
                <w:lang w:val="id-ID"/>
              </w:rPr>
            </w:pPr>
            <w:r w:rsidRPr="009B71B8">
              <w:rPr>
                <w:lang w:val="id-ID"/>
              </w:rPr>
              <w:t xml:space="preserve">1 </w:t>
            </w:r>
            <w:r w:rsidRPr="009B71B8">
              <w:rPr>
                <w:iCs/>
                <w:lang w:val="id-ID"/>
              </w:rPr>
              <w:t>day</w:t>
            </w:r>
          </w:p>
        </w:tc>
        <w:tc>
          <w:tcPr>
            <w:tcW w:w="1869" w:type="dxa"/>
          </w:tcPr>
          <w:p w:rsidR="00C33298" w:rsidRPr="009B71B8" w:rsidRDefault="00C33298" w:rsidP="007A49C1">
            <w:pPr>
              <w:autoSpaceDE w:val="0"/>
              <w:snapToGrid w:val="0"/>
              <w:jc w:val="center"/>
              <w:rPr>
                <w:lang w:val="id-ID"/>
              </w:rPr>
            </w:pPr>
            <w:r w:rsidRPr="009B71B8">
              <w:rPr>
                <w:lang w:val="id-ID"/>
              </w:rPr>
              <w:t xml:space="preserve">1 </w:t>
            </w:r>
            <w:r w:rsidRPr="009B71B8">
              <w:rPr>
                <w:iCs/>
                <w:lang w:val="id-ID"/>
              </w:rPr>
              <w:t>day</w:t>
            </w:r>
          </w:p>
        </w:tc>
      </w:tr>
      <w:tr w:rsidR="00C33298" w:rsidRPr="009B71B8" w:rsidTr="003F5BE9">
        <w:trPr>
          <w:trHeight w:val="352"/>
          <w:jc w:val="center"/>
        </w:trPr>
        <w:tc>
          <w:tcPr>
            <w:tcW w:w="1821" w:type="dxa"/>
            <w:shd w:val="clear" w:color="auto" w:fill="auto"/>
          </w:tcPr>
          <w:p w:rsidR="00C33298" w:rsidRPr="009B71B8" w:rsidRDefault="00C33298" w:rsidP="007A49C1">
            <w:pPr>
              <w:autoSpaceDE w:val="0"/>
              <w:snapToGrid w:val="0"/>
              <w:rPr>
                <w:lang w:val="id-ID"/>
              </w:rPr>
            </w:pPr>
            <w:r w:rsidRPr="009B71B8">
              <w:rPr>
                <w:lang w:val="id-ID"/>
              </w:rPr>
              <w:t>Orbit Time</w:t>
            </w:r>
          </w:p>
        </w:tc>
        <w:tc>
          <w:tcPr>
            <w:tcW w:w="1458" w:type="dxa"/>
            <w:shd w:val="clear" w:color="auto" w:fill="auto"/>
          </w:tcPr>
          <w:p w:rsidR="00C33298" w:rsidRPr="009B71B8" w:rsidRDefault="00C33298" w:rsidP="007A49C1">
            <w:pPr>
              <w:autoSpaceDE w:val="0"/>
              <w:snapToGrid w:val="0"/>
              <w:jc w:val="center"/>
              <w:rPr>
                <w:lang w:val="id-ID"/>
              </w:rPr>
            </w:pPr>
            <w:r w:rsidRPr="009B71B8">
              <w:rPr>
                <w:lang w:val="id-ID"/>
              </w:rPr>
              <w:t>10:30</w:t>
            </w:r>
          </w:p>
        </w:tc>
        <w:tc>
          <w:tcPr>
            <w:tcW w:w="1269" w:type="dxa"/>
          </w:tcPr>
          <w:p w:rsidR="00C33298" w:rsidRPr="009B71B8" w:rsidRDefault="00C33298" w:rsidP="007A49C1">
            <w:pPr>
              <w:autoSpaceDE w:val="0"/>
              <w:snapToGrid w:val="0"/>
              <w:jc w:val="center"/>
              <w:rPr>
                <w:lang w:val="id-ID"/>
              </w:rPr>
            </w:pPr>
            <w:r w:rsidRPr="009B71B8">
              <w:rPr>
                <w:lang w:val="id-ID"/>
              </w:rPr>
              <w:t xml:space="preserve">6:00,18:00 </w:t>
            </w:r>
          </w:p>
        </w:tc>
        <w:tc>
          <w:tcPr>
            <w:tcW w:w="1608" w:type="dxa"/>
          </w:tcPr>
          <w:p w:rsidR="00C33298" w:rsidRPr="009B71B8" w:rsidRDefault="00C33298" w:rsidP="007A49C1">
            <w:pPr>
              <w:autoSpaceDE w:val="0"/>
              <w:snapToGrid w:val="0"/>
              <w:jc w:val="center"/>
              <w:rPr>
                <w:lang w:val="id-ID"/>
              </w:rPr>
            </w:pPr>
            <w:r w:rsidRPr="009B71B8">
              <w:rPr>
                <w:lang w:val="id-ID"/>
              </w:rPr>
              <w:t>10:00</w:t>
            </w:r>
          </w:p>
        </w:tc>
        <w:tc>
          <w:tcPr>
            <w:tcW w:w="1869" w:type="dxa"/>
          </w:tcPr>
          <w:p w:rsidR="00C33298" w:rsidRPr="009B71B8" w:rsidRDefault="00C33298" w:rsidP="007A49C1">
            <w:pPr>
              <w:autoSpaceDE w:val="0"/>
              <w:snapToGrid w:val="0"/>
              <w:jc w:val="center"/>
              <w:rPr>
                <w:lang w:val="id-ID"/>
              </w:rPr>
            </w:pPr>
            <w:r w:rsidRPr="009B71B8">
              <w:rPr>
                <w:lang w:val="id-ID"/>
              </w:rPr>
              <w:t>6:00,18:00</w:t>
            </w:r>
          </w:p>
        </w:tc>
      </w:tr>
      <w:tr w:rsidR="00C33298" w:rsidRPr="009B71B8" w:rsidTr="003F5BE9">
        <w:trPr>
          <w:jc w:val="center"/>
        </w:trPr>
        <w:tc>
          <w:tcPr>
            <w:tcW w:w="1821" w:type="dxa"/>
            <w:shd w:val="clear" w:color="auto" w:fill="auto"/>
          </w:tcPr>
          <w:p w:rsidR="00C33298" w:rsidRPr="009B71B8" w:rsidRDefault="00C33298" w:rsidP="007A49C1">
            <w:pPr>
              <w:autoSpaceDE w:val="0"/>
              <w:snapToGrid w:val="0"/>
              <w:rPr>
                <w:lang w:val="id-ID"/>
              </w:rPr>
            </w:pPr>
            <w:r w:rsidRPr="009B71B8">
              <w:rPr>
                <w:lang w:val="id-ID"/>
              </w:rPr>
              <w:t xml:space="preserve"> </w:t>
            </w:r>
            <w:r w:rsidR="005A3686" w:rsidRPr="009B71B8">
              <w:rPr>
                <w:lang w:val="id-ID"/>
              </w:rPr>
              <w:t>Kanal</w:t>
            </w:r>
          </w:p>
        </w:tc>
        <w:tc>
          <w:tcPr>
            <w:tcW w:w="1458" w:type="dxa"/>
            <w:shd w:val="clear" w:color="auto" w:fill="auto"/>
          </w:tcPr>
          <w:p w:rsidR="00C33298" w:rsidRPr="009B71B8" w:rsidRDefault="00C33298" w:rsidP="007A49C1">
            <w:pPr>
              <w:autoSpaceDE w:val="0"/>
              <w:snapToGrid w:val="0"/>
              <w:jc w:val="center"/>
              <w:rPr>
                <w:iCs/>
                <w:lang w:val="id-ID"/>
              </w:rPr>
            </w:pPr>
            <w:r w:rsidRPr="009B71B8">
              <w:rPr>
                <w:iCs/>
                <w:lang w:val="id-ID"/>
              </w:rPr>
              <w:t>14 Ghz</w:t>
            </w:r>
          </w:p>
        </w:tc>
        <w:tc>
          <w:tcPr>
            <w:tcW w:w="1269" w:type="dxa"/>
          </w:tcPr>
          <w:p w:rsidR="00C33298" w:rsidRPr="009B71B8" w:rsidRDefault="00C33298" w:rsidP="007A49C1">
            <w:pPr>
              <w:autoSpaceDE w:val="0"/>
              <w:snapToGrid w:val="0"/>
              <w:jc w:val="center"/>
              <w:rPr>
                <w:lang w:val="id-ID"/>
              </w:rPr>
            </w:pPr>
            <w:r w:rsidRPr="009B71B8">
              <w:rPr>
                <w:lang w:val="id-ID"/>
              </w:rPr>
              <w:t xml:space="preserve">19.35 </w:t>
            </w:r>
            <w:r w:rsidRPr="009B71B8">
              <w:rPr>
                <w:iCs/>
                <w:lang w:val="id-ID"/>
              </w:rPr>
              <w:t xml:space="preserve">Ghz </w:t>
            </w:r>
            <w:r w:rsidRPr="009B71B8">
              <w:rPr>
                <w:lang w:val="id-ID"/>
              </w:rPr>
              <w:t xml:space="preserve">37 </w:t>
            </w:r>
            <w:r w:rsidRPr="009B71B8">
              <w:rPr>
                <w:iCs/>
                <w:lang w:val="id-ID"/>
              </w:rPr>
              <w:t>Ghz</w:t>
            </w:r>
          </w:p>
        </w:tc>
        <w:tc>
          <w:tcPr>
            <w:tcW w:w="1608" w:type="dxa"/>
          </w:tcPr>
          <w:p w:rsidR="00C33298" w:rsidRPr="009B71B8" w:rsidRDefault="00C33298" w:rsidP="007A49C1">
            <w:pPr>
              <w:autoSpaceDE w:val="0"/>
              <w:snapToGrid w:val="0"/>
              <w:jc w:val="center"/>
              <w:rPr>
                <w:lang w:val="id-ID"/>
              </w:rPr>
            </w:pPr>
            <w:r w:rsidRPr="009B71B8">
              <w:rPr>
                <w:lang w:val="id-ID"/>
              </w:rPr>
              <w:t>5.4 Ghz</w:t>
            </w:r>
          </w:p>
        </w:tc>
        <w:tc>
          <w:tcPr>
            <w:tcW w:w="1869" w:type="dxa"/>
          </w:tcPr>
          <w:p w:rsidR="00C33298" w:rsidRPr="009B71B8" w:rsidRDefault="00C33298" w:rsidP="007A49C1">
            <w:pPr>
              <w:autoSpaceDE w:val="0"/>
              <w:snapToGrid w:val="0"/>
              <w:jc w:val="center"/>
              <w:rPr>
                <w:iCs/>
                <w:lang w:val="id-ID"/>
              </w:rPr>
            </w:pPr>
            <w:r w:rsidRPr="009B71B8">
              <w:rPr>
                <w:lang w:val="id-ID"/>
              </w:rPr>
              <w:t xml:space="preserve">13.4 </w:t>
            </w:r>
            <w:r w:rsidRPr="009B71B8">
              <w:rPr>
                <w:iCs/>
                <w:lang w:val="id-ID"/>
              </w:rPr>
              <w:t>Ghz</w:t>
            </w:r>
          </w:p>
        </w:tc>
      </w:tr>
      <w:tr w:rsidR="00C33298" w:rsidRPr="009B71B8" w:rsidTr="003F5BE9">
        <w:trPr>
          <w:jc w:val="center"/>
        </w:trPr>
        <w:tc>
          <w:tcPr>
            <w:tcW w:w="1821" w:type="dxa"/>
            <w:tcBorders>
              <w:bottom w:val="single" w:sz="4" w:space="0" w:color="auto"/>
            </w:tcBorders>
            <w:shd w:val="clear" w:color="auto" w:fill="auto"/>
          </w:tcPr>
          <w:p w:rsidR="00C33298" w:rsidRPr="009B71B8" w:rsidRDefault="00C33298" w:rsidP="007A49C1">
            <w:pPr>
              <w:autoSpaceDE w:val="0"/>
              <w:snapToGrid w:val="0"/>
              <w:rPr>
                <w:lang w:val="id-ID"/>
              </w:rPr>
            </w:pPr>
            <w:r w:rsidRPr="009B71B8">
              <w:rPr>
                <w:lang w:val="id-ID"/>
              </w:rPr>
              <w:t>Data center</w:t>
            </w:r>
          </w:p>
        </w:tc>
        <w:tc>
          <w:tcPr>
            <w:tcW w:w="1458" w:type="dxa"/>
            <w:tcBorders>
              <w:bottom w:val="single" w:sz="4" w:space="0" w:color="auto"/>
            </w:tcBorders>
            <w:shd w:val="clear" w:color="auto" w:fill="auto"/>
          </w:tcPr>
          <w:p w:rsidR="00C33298" w:rsidRPr="009B71B8" w:rsidRDefault="00C33298" w:rsidP="007A49C1">
            <w:pPr>
              <w:autoSpaceDE w:val="0"/>
              <w:snapToGrid w:val="0"/>
              <w:jc w:val="center"/>
              <w:rPr>
                <w:lang w:val="id-ID"/>
              </w:rPr>
            </w:pPr>
            <w:r w:rsidRPr="009B71B8">
              <w:rPr>
                <w:lang w:val="id-ID"/>
              </w:rPr>
              <w:t>IFREMER/</w:t>
            </w:r>
          </w:p>
          <w:p w:rsidR="00C33298" w:rsidRPr="009B71B8" w:rsidRDefault="00C33298" w:rsidP="007A49C1">
            <w:pPr>
              <w:autoSpaceDE w:val="0"/>
              <w:snapToGrid w:val="0"/>
              <w:jc w:val="center"/>
              <w:rPr>
                <w:lang w:val="id-ID"/>
              </w:rPr>
            </w:pPr>
            <w:r w:rsidRPr="009B71B8">
              <w:rPr>
                <w:lang w:val="id-ID"/>
              </w:rPr>
              <w:t>CERSAT</w:t>
            </w:r>
          </w:p>
        </w:tc>
        <w:tc>
          <w:tcPr>
            <w:tcW w:w="1269" w:type="dxa"/>
            <w:tcBorders>
              <w:bottom w:val="single" w:sz="4" w:space="0" w:color="auto"/>
            </w:tcBorders>
          </w:tcPr>
          <w:p w:rsidR="00C33298" w:rsidRPr="009B71B8" w:rsidRDefault="00C33298" w:rsidP="007A49C1">
            <w:pPr>
              <w:autoSpaceDE w:val="0"/>
              <w:snapToGrid w:val="0"/>
              <w:jc w:val="center"/>
              <w:rPr>
                <w:lang w:val="id-ID"/>
              </w:rPr>
            </w:pPr>
            <w:r w:rsidRPr="009B71B8">
              <w:rPr>
                <w:lang w:val="id-ID"/>
              </w:rPr>
              <w:t>REMSS</w:t>
            </w:r>
          </w:p>
        </w:tc>
        <w:tc>
          <w:tcPr>
            <w:tcW w:w="1608" w:type="dxa"/>
            <w:tcBorders>
              <w:bottom w:val="single" w:sz="4" w:space="0" w:color="auto"/>
            </w:tcBorders>
          </w:tcPr>
          <w:p w:rsidR="00C33298" w:rsidRPr="009B71B8" w:rsidRDefault="00C33298" w:rsidP="007A49C1">
            <w:pPr>
              <w:autoSpaceDE w:val="0"/>
              <w:snapToGrid w:val="0"/>
              <w:jc w:val="center"/>
              <w:rPr>
                <w:lang w:val="id-ID"/>
              </w:rPr>
            </w:pPr>
            <w:r w:rsidRPr="009B71B8">
              <w:rPr>
                <w:lang w:val="id-ID"/>
              </w:rPr>
              <w:t>IFREMER/</w:t>
            </w:r>
          </w:p>
          <w:p w:rsidR="00C33298" w:rsidRPr="009B71B8" w:rsidRDefault="00C33298" w:rsidP="007A49C1">
            <w:pPr>
              <w:autoSpaceDE w:val="0"/>
              <w:snapToGrid w:val="0"/>
              <w:jc w:val="center"/>
              <w:rPr>
                <w:lang w:val="id-ID"/>
              </w:rPr>
            </w:pPr>
            <w:r w:rsidRPr="009B71B8">
              <w:rPr>
                <w:lang w:val="id-ID"/>
              </w:rPr>
              <w:t>CERSAT</w:t>
            </w:r>
          </w:p>
        </w:tc>
        <w:tc>
          <w:tcPr>
            <w:tcW w:w="1869" w:type="dxa"/>
            <w:tcBorders>
              <w:bottom w:val="single" w:sz="4" w:space="0" w:color="auto"/>
            </w:tcBorders>
          </w:tcPr>
          <w:p w:rsidR="00C33298" w:rsidRPr="009B71B8" w:rsidRDefault="00C33298" w:rsidP="007A49C1">
            <w:pPr>
              <w:autoSpaceDE w:val="0"/>
              <w:snapToGrid w:val="0"/>
              <w:jc w:val="center"/>
              <w:rPr>
                <w:lang w:val="id-ID"/>
              </w:rPr>
            </w:pPr>
            <w:r w:rsidRPr="009B71B8">
              <w:rPr>
                <w:lang w:val="id-ID"/>
              </w:rPr>
              <w:t>REMSS</w:t>
            </w:r>
          </w:p>
        </w:tc>
      </w:tr>
      <w:tr w:rsidR="00C33298" w:rsidRPr="009B71B8" w:rsidTr="003F5BE9">
        <w:trPr>
          <w:jc w:val="center"/>
        </w:trPr>
        <w:tc>
          <w:tcPr>
            <w:tcW w:w="1821" w:type="dxa"/>
            <w:tcBorders>
              <w:top w:val="single" w:sz="4" w:space="0" w:color="auto"/>
              <w:bottom w:val="single" w:sz="4" w:space="0" w:color="auto"/>
            </w:tcBorders>
            <w:shd w:val="clear" w:color="auto" w:fill="auto"/>
          </w:tcPr>
          <w:p w:rsidR="00C33298" w:rsidRPr="009B71B8" w:rsidRDefault="00C33298" w:rsidP="007A49C1">
            <w:pPr>
              <w:autoSpaceDE w:val="0"/>
              <w:snapToGrid w:val="0"/>
              <w:rPr>
                <w:lang w:val="id-ID"/>
              </w:rPr>
            </w:pPr>
            <w:r w:rsidRPr="009B71B8">
              <w:rPr>
                <w:lang w:val="id-ID"/>
              </w:rPr>
              <w:t>ftp/http site</w:t>
            </w:r>
          </w:p>
        </w:tc>
        <w:tc>
          <w:tcPr>
            <w:tcW w:w="1458" w:type="dxa"/>
            <w:tcBorders>
              <w:top w:val="single" w:sz="4" w:space="0" w:color="auto"/>
              <w:bottom w:val="single" w:sz="4" w:space="0" w:color="auto"/>
            </w:tcBorders>
            <w:shd w:val="clear" w:color="auto" w:fill="auto"/>
          </w:tcPr>
          <w:p w:rsidR="00C33298" w:rsidRPr="009B71B8" w:rsidRDefault="00C33298" w:rsidP="007A49C1">
            <w:pPr>
              <w:autoSpaceDE w:val="0"/>
              <w:snapToGrid w:val="0"/>
              <w:jc w:val="center"/>
              <w:rPr>
                <w:lang w:val="id-ID"/>
              </w:rPr>
            </w:pPr>
            <w:r w:rsidRPr="009B71B8">
              <w:rPr>
                <w:lang w:val="id-ID"/>
              </w:rPr>
              <w:t>ftp. ifremer.fr</w:t>
            </w:r>
          </w:p>
        </w:tc>
        <w:tc>
          <w:tcPr>
            <w:tcW w:w="1269" w:type="dxa"/>
            <w:tcBorders>
              <w:top w:val="single" w:sz="4" w:space="0" w:color="auto"/>
              <w:bottom w:val="single" w:sz="4" w:space="0" w:color="auto"/>
            </w:tcBorders>
          </w:tcPr>
          <w:p w:rsidR="00C33298" w:rsidRPr="009B71B8" w:rsidRDefault="00C33298" w:rsidP="007A49C1">
            <w:pPr>
              <w:autoSpaceDE w:val="0"/>
              <w:snapToGrid w:val="0"/>
              <w:jc w:val="center"/>
              <w:rPr>
                <w:lang w:val="id-ID"/>
              </w:rPr>
            </w:pPr>
            <w:r w:rsidRPr="009B71B8">
              <w:rPr>
                <w:lang w:val="id-ID"/>
              </w:rPr>
              <w:t>ftp.remss.</w:t>
            </w:r>
          </w:p>
          <w:p w:rsidR="00C33298" w:rsidRPr="009B71B8" w:rsidRDefault="00C33298" w:rsidP="007A49C1">
            <w:pPr>
              <w:autoSpaceDE w:val="0"/>
              <w:snapToGrid w:val="0"/>
              <w:jc w:val="center"/>
              <w:rPr>
                <w:lang w:val="id-ID"/>
              </w:rPr>
            </w:pPr>
            <w:r w:rsidRPr="009B71B8">
              <w:rPr>
                <w:lang w:val="id-ID"/>
              </w:rPr>
              <w:t>com</w:t>
            </w:r>
          </w:p>
        </w:tc>
        <w:tc>
          <w:tcPr>
            <w:tcW w:w="1608" w:type="dxa"/>
            <w:tcBorders>
              <w:top w:val="single" w:sz="4" w:space="0" w:color="auto"/>
              <w:bottom w:val="single" w:sz="4" w:space="0" w:color="auto"/>
            </w:tcBorders>
          </w:tcPr>
          <w:p w:rsidR="00C33298" w:rsidRPr="009B71B8" w:rsidRDefault="00C33298" w:rsidP="007A49C1">
            <w:pPr>
              <w:autoSpaceDE w:val="0"/>
              <w:snapToGrid w:val="0"/>
              <w:jc w:val="center"/>
              <w:rPr>
                <w:lang w:val="id-ID"/>
              </w:rPr>
            </w:pPr>
            <w:r w:rsidRPr="009B71B8">
              <w:rPr>
                <w:lang w:val="id-ID"/>
              </w:rPr>
              <w:t>ftp.</w:t>
            </w:r>
          </w:p>
          <w:p w:rsidR="00C33298" w:rsidRPr="009B71B8" w:rsidRDefault="00C33298" w:rsidP="007A49C1">
            <w:pPr>
              <w:autoSpaceDE w:val="0"/>
              <w:snapToGrid w:val="0"/>
              <w:jc w:val="center"/>
              <w:rPr>
                <w:lang w:val="id-ID"/>
              </w:rPr>
            </w:pPr>
            <w:r w:rsidRPr="009B71B8">
              <w:rPr>
                <w:lang w:val="id-ID"/>
              </w:rPr>
              <w:t>ifremer.fr</w:t>
            </w:r>
          </w:p>
        </w:tc>
        <w:tc>
          <w:tcPr>
            <w:tcW w:w="1869" w:type="dxa"/>
            <w:tcBorders>
              <w:top w:val="single" w:sz="4" w:space="0" w:color="auto"/>
              <w:bottom w:val="single" w:sz="4" w:space="0" w:color="auto"/>
            </w:tcBorders>
          </w:tcPr>
          <w:p w:rsidR="00C33298" w:rsidRPr="009B71B8" w:rsidRDefault="00C33298" w:rsidP="007A49C1">
            <w:pPr>
              <w:autoSpaceDE w:val="0"/>
              <w:snapToGrid w:val="0"/>
              <w:jc w:val="center"/>
              <w:rPr>
                <w:lang w:val="id-ID"/>
              </w:rPr>
            </w:pPr>
            <w:r w:rsidRPr="009B71B8">
              <w:rPr>
                <w:lang w:val="id-ID"/>
              </w:rPr>
              <w:t>ftp.remss.</w:t>
            </w:r>
          </w:p>
          <w:p w:rsidR="00C33298" w:rsidRPr="009B71B8" w:rsidRDefault="00C33298" w:rsidP="007A49C1">
            <w:pPr>
              <w:autoSpaceDE w:val="0"/>
              <w:snapToGrid w:val="0"/>
              <w:jc w:val="center"/>
              <w:rPr>
                <w:lang w:val="id-ID"/>
              </w:rPr>
            </w:pPr>
            <w:r w:rsidRPr="009B71B8">
              <w:rPr>
                <w:lang w:val="id-ID"/>
              </w:rPr>
              <w:t>com</w:t>
            </w:r>
          </w:p>
        </w:tc>
      </w:tr>
    </w:tbl>
    <w:p w:rsidR="00C33298" w:rsidRPr="009B71B8" w:rsidRDefault="00C33298" w:rsidP="007A49C1">
      <w:pPr>
        <w:ind w:firstLine="360"/>
        <w:jc w:val="both"/>
        <w:rPr>
          <w:lang w:val="id-ID"/>
        </w:rPr>
      </w:pPr>
    </w:p>
    <w:p w:rsidR="00CD777F" w:rsidRPr="009B71B8" w:rsidRDefault="006A6022" w:rsidP="00760138">
      <w:pPr>
        <w:spacing w:line="360" w:lineRule="auto"/>
        <w:ind w:firstLine="360"/>
        <w:jc w:val="both"/>
        <w:rPr>
          <w:lang w:val="id-ID"/>
        </w:rPr>
      </w:pPr>
      <w:r w:rsidRPr="009B71B8">
        <w:rPr>
          <w:lang w:val="id-ID"/>
        </w:rPr>
        <w:t xml:space="preserve"> </w:t>
      </w:r>
      <w:r w:rsidRPr="009B71B8">
        <w:rPr>
          <w:i/>
          <w:lang w:val="id-ID"/>
        </w:rPr>
        <w:t>Satellite remote sensing</w:t>
      </w:r>
      <w:r w:rsidRPr="009B71B8">
        <w:rPr>
          <w:lang w:val="id-ID"/>
        </w:rPr>
        <w:t xml:space="preserve"> (RS)</w:t>
      </w:r>
      <w:r w:rsidR="009309C9" w:rsidRPr="009B71B8">
        <w:rPr>
          <w:lang w:val="id-ID"/>
        </w:rPr>
        <w:t xml:space="preserve"> membawa sensor </w:t>
      </w:r>
      <w:r w:rsidR="009309C9" w:rsidRPr="009B71B8">
        <w:rPr>
          <w:i/>
          <w:lang w:val="id-ID"/>
        </w:rPr>
        <w:t>radar scatterometer</w:t>
      </w:r>
      <w:r w:rsidR="009309C9" w:rsidRPr="009B71B8">
        <w:rPr>
          <w:lang w:val="id-ID"/>
        </w:rPr>
        <w:t xml:space="preserve"> atau sensor </w:t>
      </w:r>
      <w:r w:rsidR="009309C9" w:rsidRPr="009B71B8">
        <w:rPr>
          <w:i/>
          <w:lang w:val="id-ID"/>
        </w:rPr>
        <w:t>passive microwave radiometer</w:t>
      </w:r>
      <w:r w:rsidR="009309C9" w:rsidRPr="009B71B8">
        <w:rPr>
          <w:lang w:val="id-ID"/>
        </w:rPr>
        <w:t xml:space="preserve">. RS </w:t>
      </w:r>
      <w:r w:rsidRPr="009B71B8">
        <w:rPr>
          <w:lang w:val="id-ID"/>
        </w:rPr>
        <w:t xml:space="preserve">mengukur angin </w:t>
      </w:r>
      <w:r w:rsidR="002E6061" w:rsidRPr="009B71B8">
        <w:rPr>
          <w:lang w:val="id-ID"/>
        </w:rPr>
        <w:t xml:space="preserve">secara tidak langsung </w:t>
      </w:r>
      <w:r w:rsidRPr="009B71B8">
        <w:rPr>
          <w:lang w:val="id-ID"/>
        </w:rPr>
        <w:t xml:space="preserve">dari riak gelonbang kapiler </w:t>
      </w:r>
      <w:r w:rsidR="002E6061" w:rsidRPr="009B71B8">
        <w:rPr>
          <w:lang w:val="id-ID"/>
        </w:rPr>
        <w:t xml:space="preserve">permukaan </w:t>
      </w:r>
      <w:r w:rsidRPr="009B71B8">
        <w:rPr>
          <w:lang w:val="id-ID"/>
        </w:rPr>
        <w:t xml:space="preserve">air laut. RS tidak dapat mengukur angin </w:t>
      </w:r>
      <w:r w:rsidR="00760138" w:rsidRPr="009B71B8">
        <w:rPr>
          <w:lang w:val="id-ID"/>
        </w:rPr>
        <w:t xml:space="preserve">didaratan. </w:t>
      </w:r>
      <w:r w:rsidR="0060017C" w:rsidRPr="009B71B8">
        <w:rPr>
          <w:lang w:val="id-ID"/>
        </w:rPr>
        <w:t>Riak gelonbang kapiler permukaan air laut mengemisi energi radian yang dapat diobservasi pada spektrum gelombang mikro. Permukaan air laut yang tenang mengemisi energi radian</w:t>
      </w:r>
      <w:r w:rsidR="003F2B5F" w:rsidRPr="009B71B8">
        <w:rPr>
          <w:lang w:val="id-ID"/>
        </w:rPr>
        <w:t xml:space="preserve"> dengan karakter</w:t>
      </w:r>
      <w:r w:rsidR="0060017C" w:rsidRPr="009B71B8">
        <w:rPr>
          <w:lang w:val="id-ID"/>
        </w:rPr>
        <w:t>i</w:t>
      </w:r>
      <w:r w:rsidR="003F2B5F" w:rsidRPr="009B71B8">
        <w:rPr>
          <w:lang w:val="id-ID"/>
        </w:rPr>
        <w:t>s</w:t>
      </w:r>
      <w:r w:rsidR="0060017C" w:rsidRPr="009B71B8">
        <w:rPr>
          <w:lang w:val="id-ID"/>
        </w:rPr>
        <w:t>tik sangat terpolarisasi.</w:t>
      </w:r>
      <w:r w:rsidR="003F2B5F" w:rsidRPr="009B71B8">
        <w:rPr>
          <w:lang w:val="id-ID"/>
        </w:rPr>
        <w:t xml:space="preserve"> Saat permukaan air laut</w:t>
      </w:r>
      <w:r w:rsidR="00B10FB6" w:rsidRPr="009B71B8">
        <w:rPr>
          <w:lang w:val="id-ID"/>
        </w:rPr>
        <w:t xml:space="preserve"> be</w:t>
      </w:r>
      <w:r w:rsidR="003F2B5F" w:rsidRPr="009B71B8">
        <w:rPr>
          <w:lang w:val="id-ID"/>
        </w:rPr>
        <w:t xml:space="preserve">riak emisi energi radian meningkat dan kurang terpolarisasi. </w:t>
      </w:r>
      <w:r w:rsidR="00141FC2" w:rsidRPr="009B71B8">
        <w:rPr>
          <w:lang w:val="id-ID"/>
        </w:rPr>
        <w:t>WS diukur dari perbedaan besar emisi pada dua kanal frekuensi yang berbeda</w:t>
      </w:r>
      <w:r w:rsidR="00A45BA2" w:rsidRPr="009B71B8">
        <w:rPr>
          <w:lang w:val="id-ID"/>
        </w:rPr>
        <w:t xml:space="preserve">. </w:t>
      </w:r>
      <w:r w:rsidR="003F2B5F" w:rsidRPr="009B71B8">
        <w:rPr>
          <w:lang w:val="id-ID"/>
        </w:rPr>
        <w:t xml:space="preserve">WS dapat diestimasi dengan derajat akurasi </w:t>
      </w:r>
      <w:r w:rsidR="003F2B5F" w:rsidRPr="009B71B8">
        <w:rPr>
          <w:lang w:val="id-ID"/>
        </w:rPr>
        <w:lastRenderedPageBreak/>
        <w:t>yang timggi oleh karena</w:t>
      </w:r>
      <w:r w:rsidR="00B10FB6" w:rsidRPr="009B71B8">
        <w:rPr>
          <w:lang w:val="id-ID"/>
        </w:rPr>
        <w:t xml:space="preserve"> </w:t>
      </w:r>
      <w:r w:rsidR="003F2B5F" w:rsidRPr="009B71B8">
        <w:rPr>
          <w:lang w:val="id-ID"/>
        </w:rPr>
        <w:t xml:space="preserve">memiliki </w:t>
      </w:r>
      <w:r w:rsidR="00B10FB6" w:rsidRPr="009B71B8">
        <w:rPr>
          <w:lang w:val="id-ID"/>
        </w:rPr>
        <w:t>relasi</w:t>
      </w:r>
      <w:r w:rsidR="003F2B5F" w:rsidRPr="009B71B8">
        <w:rPr>
          <w:lang w:val="id-ID"/>
        </w:rPr>
        <w:t xml:space="preserve"> yang unik </w:t>
      </w:r>
      <w:r w:rsidR="005A3686" w:rsidRPr="009B71B8">
        <w:rPr>
          <w:lang w:val="id-ID"/>
        </w:rPr>
        <w:t xml:space="preserve">pada </w:t>
      </w:r>
      <w:r w:rsidR="005A3686" w:rsidRPr="009B71B8">
        <w:rPr>
          <w:i/>
          <w:lang w:val="id-ID"/>
        </w:rPr>
        <w:t>radiative transfer equation</w:t>
      </w:r>
      <w:r w:rsidR="005A3686" w:rsidRPr="009B71B8">
        <w:rPr>
          <w:lang w:val="id-ID"/>
        </w:rPr>
        <w:t xml:space="preserve"> </w:t>
      </w:r>
      <w:r w:rsidR="003F2B5F" w:rsidRPr="009B71B8">
        <w:rPr>
          <w:lang w:val="id-ID"/>
        </w:rPr>
        <w:t xml:space="preserve">dengan </w:t>
      </w:r>
      <w:r w:rsidR="003F2B5F" w:rsidRPr="009B71B8">
        <w:rPr>
          <w:i/>
          <w:lang w:val="id-ID"/>
        </w:rPr>
        <w:t>brightness temperature</w:t>
      </w:r>
      <w:r w:rsidR="004C0858" w:rsidRPr="009B71B8">
        <w:rPr>
          <w:lang w:val="id-ID"/>
        </w:rPr>
        <w:t xml:space="preserve"> (Yin et al., 2017)</w:t>
      </w:r>
      <w:r w:rsidR="005A3686" w:rsidRPr="009B71B8">
        <w:rPr>
          <w:lang w:val="id-ID"/>
        </w:rPr>
        <w:t>.</w:t>
      </w:r>
      <w:r w:rsidR="004C0858" w:rsidRPr="009B71B8">
        <w:rPr>
          <w:lang w:val="id-ID"/>
        </w:rPr>
        <w:t xml:space="preserve"> </w:t>
      </w:r>
      <w:r w:rsidR="00D34E7A" w:rsidRPr="009B71B8">
        <w:rPr>
          <w:lang w:val="id-ID"/>
        </w:rPr>
        <w:t xml:space="preserve"> </w:t>
      </w:r>
      <w:r w:rsidR="00D34E7A" w:rsidRPr="009B71B8">
        <w:rPr>
          <w:i/>
          <w:lang w:val="id-ID"/>
        </w:rPr>
        <w:t>Radar scatterometer</w:t>
      </w:r>
      <w:r w:rsidR="00D34E7A" w:rsidRPr="009B71B8">
        <w:rPr>
          <w:lang w:val="id-ID"/>
        </w:rPr>
        <w:t xml:space="preserve"> mengukur WS dan WD secara tidak langsung dari </w:t>
      </w:r>
      <w:r w:rsidR="00D34E7A" w:rsidRPr="009B71B8">
        <w:rPr>
          <w:i/>
          <w:lang w:val="id-ID"/>
        </w:rPr>
        <w:t>radar backscatter</w:t>
      </w:r>
      <w:r w:rsidR="001469DC" w:rsidRPr="009B71B8">
        <w:rPr>
          <w:lang w:val="id-ID"/>
        </w:rPr>
        <w:t xml:space="preserve"> </w:t>
      </w:r>
      <w:r w:rsidR="00CD777F" w:rsidRPr="009B71B8">
        <w:rPr>
          <w:lang w:val="id-ID"/>
        </w:rPr>
        <w:t>riak gelonbang permukaan air laut.</w:t>
      </w:r>
      <w:r w:rsidR="00FA2FF7" w:rsidRPr="009B71B8">
        <w:rPr>
          <w:lang w:val="id-ID"/>
        </w:rPr>
        <w:t xml:space="preserve"> Vektor angin didapat dengan cara </w:t>
      </w:r>
      <w:r w:rsidR="00FA2FF7" w:rsidRPr="009B71B8">
        <w:rPr>
          <w:i/>
          <w:lang w:val="id-ID"/>
        </w:rPr>
        <w:t>multiple looks</w:t>
      </w:r>
      <w:r w:rsidR="00FA2FF7" w:rsidRPr="009B71B8">
        <w:rPr>
          <w:lang w:val="id-ID"/>
        </w:rPr>
        <w:t xml:space="preserve"> pada area observasi yang sama</w:t>
      </w:r>
      <w:r w:rsidR="003D017C" w:rsidRPr="009B71B8">
        <w:rPr>
          <w:lang w:val="id-ID"/>
        </w:rPr>
        <w:t xml:space="preserve"> pada sudut azimuth dan polarisasi yang berbeda-beda.</w:t>
      </w:r>
      <w:r w:rsidR="001469DC" w:rsidRPr="009B71B8">
        <w:rPr>
          <w:lang w:val="id-ID"/>
        </w:rPr>
        <w:t xml:space="preserve"> Relasi antara besar </w:t>
      </w:r>
      <w:r w:rsidR="001469DC" w:rsidRPr="009B71B8">
        <w:rPr>
          <w:i/>
          <w:lang w:val="id-ID"/>
        </w:rPr>
        <w:t>radar backscatter</w:t>
      </w:r>
      <w:r w:rsidR="001469DC" w:rsidRPr="009B71B8">
        <w:rPr>
          <w:lang w:val="id-ID"/>
        </w:rPr>
        <w:t xml:space="preserve"> dengan WS dan WD didapat dari </w:t>
      </w:r>
      <w:r w:rsidR="001469DC" w:rsidRPr="009B71B8">
        <w:rPr>
          <w:i/>
          <w:lang w:val="id-ID"/>
        </w:rPr>
        <w:t>geophysical model function</w:t>
      </w:r>
      <w:r w:rsidR="004E1C83" w:rsidRPr="009B71B8">
        <w:rPr>
          <w:noProof/>
          <w:lang w:val="id-ID"/>
        </w:rPr>
        <w:t xml:space="preserve"> (Ricciardulli</w:t>
      </w:r>
      <w:r w:rsidR="00392D83">
        <w:rPr>
          <w:noProof/>
          <w:lang w:val="id-ID"/>
        </w:rPr>
        <w:t xml:space="preserve"> dan </w:t>
      </w:r>
      <w:r w:rsidR="00392D83" w:rsidRPr="008A197B">
        <w:rPr>
          <w:noProof/>
          <w:lang w:val="id-ID"/>
        </w:rPr>
        <w:t>Wentz</w:t>
      </w:r>
      <w:r w:rsidR="004E1C83" w:rsidRPr="009B71B8">
        <w:rPr>
          <w:lang w:val="id-ID"/>
        </w:rPr>
        <w:t>, 2015).</w:t>
      </w:r>
    </w:p>
    <w:p w:rsidR="004A4F48" w:rsidRPr="009B71B8" w:rsidRDefault="00541AA4" w:rsidP="004E1C83">
      <w:pPr>
        <w:spacing w:line="360" w:lineRule="auto"/>
        <w:ind w:firstLine="360"/>
        <w:jc w:val="both"/>
        <w:rPr>
          <w:lang w:val="id-ID"/>
        </w:rPr>
      </w:pPr>
      <w:r w:rsidRPr="009B71B8">
        <w:rPr>
          <w:lang w:val="id-ID"/>
        </w:rPr>
        <w:t>Karakteristik dan potensi angin dihitung dan dianalisa dengan statistik. Dari luasan area Indonesia terdapat 160 baris dan 400 kolom grid untuk setiap bulan data.</w:t>
      </w:r>
      <w:r w:rsidR="004A4F48" w:rsidRPr="009B71B8">
        <w:rPr>
          <w:lang w:val="id-ID"/>
        </w:rPr>
        <w:t xml:space="preserve"> Zonal komponen atau WD arah barat-timur (</w:t>
      </w:r>
      <w:r w:rsidR="00F255DC" w:rsidRPr="009B71B8">
        <w:rPr>
          <w:i/>
          <w:lang w:val="id-ID"/>
        </w:rPr>
        <w:t>U-WS</w:t>
      </w:r>
      <w:r w:rsidR="008645E2" w:rsidRPr="009B71B8">
        <w:rPr>
          <w:lang w:val="id-ID"/>
        </w:rPr>
        <w:fldChar w:fldCharType="begin"/>
      </w:r>
      <w:r w:rsidR="004A4F48" w:rsidRPr="009B71B8">
        <w:rPr>
          <w:lang w:val="id-ID"/>
        </w:rPr>
        <w:instrText xml:space="preserve"> QUOTE </w:instrText>
      </w:r>
      <m:oMath>
        <m:r>
          <w:rPr>
            <w:rFonts w:ascii="Cambria Math" w:eastAsia="MS Mincho" w:hAnsi="Cambria Math"/>
            <w:lang w:val="id-ID"/>
          </w:rPr>
          <m:t>U</m:t>
        </m:r>
        <m:r>
          <m:rPr>
            <m:nor/>
          </m:rPr>
          <w:rPr>
            <w:rFonts w:eastAsia="MS Mincho"/>
            <w:lang w:val="id-ID"/>
          </w:rPr>
          <m:t>-</m:t>
        </m:r>
        <m:r>
          <w:rPr>
            <w:rFonts w:ascii="Cambria Math" w:eastAsia="MS Mincho" w:hAnsi="Cambria Math"/>
            <w:lang w:val="id-ID"/>
          </w:rPr>
          <m:t>WS</m:t>
        </m:r>
      </m:oMath>
      <w:r w:rsidR="004A4F48" w:rsidRPr="009B71B8">
        <w:rPr>
          <w:lang w:val="id-ID"/>
        </w:rPr>
        <w:instrText xml:space="preserve"> </w:instrText>
      </w:r>
      <w:r w:rsidR="008645E2" w:rsidRPr="009B71B8">
        <w:rPr>
          <w:lang w:val="id-ID"/>
        </w:rPr>
        <w:fldChar w:fldCharType="end"/>
      </w:r>
      <w:r w:rsidR="004A4F48" w:rsidRPr="009B71B8">
        <w:rPr>
          <w:lang w:val="id-ID"/>
        </w:rPr>
        <w:t>) dan Meridonal komponen atau WD arah utara-selatan (</w:t>
      </w:r>
      <w:r w:rsidR="00F255DC" w:rsidRPr="009B71B8">
        <w:rPr>
          <w:i/>
          <w:lang w:val="id-ID"/>
        </w:rPr>
        <w:t>V-WS</w:t>
      </w:r>
      <w:r w:rsidR="008645E2" w:rsidRPr="009B71B8">
        <w:rPr>
          <w:lang w:val="id-ID"/>
        </w:rPr>
        <w:fldChar w:fldCharType="begin"/>
      </w:r>
      <w:r w:rsidR="004A4F48" w:rsidRPr="009B71B8">
        <w:rPr>
          <w:lang w:val="id-ID"/>
        </w:rPr>
        <w:instrText xml:space="preserve"> QUOTE </w:instrText>
      </w:r>
      <m:oMath>
        <m:r>
          <w:rPr>
            <w:rFonts w:ascii="Cambria Math" w:eastAsia="MS Mincho" w:hAnsi="Cambria Math"/>
            <w:lang w:val="id-ID"/>
          </w:rPr>
          <m:t>V</m:t>
        </m:r>
        <m:r>
          <m:rPr>
            <m:nor/>
          </m:rPr>
          <w:rPr>
            <w:rFonts w:eastAsia="MS Mincho"/>
            <w:lang w:val="id-ID"/>
          </w:rPr>
          <m:t>-</m:t>
        </m:r>
        <m:r>
          <w:rPr>
            <w:rFonts w:ascii="Cambria Math" w:eastAsia="MS Mincho" w:hAnsi="Cambria Math"/>
            <w:lang w:val="id-ID"/>
          </w:rPr>
          <m:t>WS</m:t>
        </m:r>
      </m:oMath>
      <w:r w:rsidR="004A4F48" w:rsidRPr="009B71B8">
        <w:rPr>
          <w:lang w:val="id-ID"/>
        </w:rPr>
        <w:instrText xml:space="preserve"> </w:instrText>
      </w:r>
      <w:r w:rsidR="008645E2" w:rsidRPr="009B71B8">
        <w:rPr>
          <w:lang w:val="id-ID"/>
        </w:rPr>
        <w:fldChar w:fldCharType="end"/>
      </w:r>
      <w:r w:rsidR="004A4F48" w:rsidRPr="009B71B8">
        <w:rPr>
          <w:lang w:val="id-ID"/>
        </w:rPr>
        <w:t>)</w:t>
      </w:r>
      <w:r w:rsidR="004861FC" w:rsidRPr="009B71B8">
        <w:rPr>
          <w:lang w:val="id-ID"/>
        </w:rPr>
        <w:t xml:space="preserve"> dihitung dengan persamaan </w:t>
      </w:r>
      <w:r w:rsidR="00A1260F" w:rsidRPr="009B71B8">
        <w:rPr>
          <w:lang w:val="id-ID"/>
        </w:rPr>
        <w:t>(</w:t>
      </w:r>
      <w:r w:rsidR="004861FC" w:rsidRPr="009B71B8">
        <w:rPr>
          <w:lang w:val="id-ID"/>
        </w:rPr>
        <w:t>1</w:t>
      </w:r>
      <w:r w:rsidR="00A1260F" w:rsidRPr="009B71B8">
        <w:rPr>
          <w:lang w:val="id-ID"/>
        </w:rPr>
        <w:t>)</w:t>
      </w:r>
      <w:r w:rsidR="004861FC" w:rsidRPr="009B71B8">
        <w:rPr>
          <w:lang w:val="id-ID"/>
        </w:rPr>
        <w:t>.</w:t>
      </w:r>
    </w:p>
    <w:p w:rsidR="00AC3096" w:rsidRPr="009B71B8" w:rsidRDefault="00AC3096" w:rsidP="004E1C83">
      <w:pPr>
        <w:spacing w:line="360" w:lineRule="auto"/>
        <w:ind w:firstLine="360"/>
        <w:jc w:val="both"/>
        <w:rPr>
          <w:lang w:val="id-ID"/>
        </w:rPr>
      </w:pPr>
    </w:p>
    <w:tbl>
      <w:tblPr>
        <w:tblW w:w="5000" w:type="pct"/>
        <w:tblLook w:val="04A0"/>
      </w:tblPr>
      <w:tblGrid>
        <w:gridCol w:w="1304"/>
        <w:gridCol w:w="6113"/>
        <w:gridCol w:w="1304"/>
      </w:tblGrid>
      <w:tr w:rsidR="004A4F48" w:rsidRPr="009B71B8" w:rsidTr="00AC3096">
        <w:trPr>
          <w:cantSplit/>
          <w:trHeight w:val="153"/>
        </w:trPr>
        <w:tc>
          <w:tcPr>
            <w:tcW w:w="750" w:type="pct"/>
            <w:vAlign w:val="center"/>
          </w:tcPr>
          <w:p w:rsidR="004A4F48" w:rsidRPr="009B71B8" w:rsidRDefault="004A4F48" w:rsidP="00AC3096">
            <w:pPr>
              <w:spacing w:line="480" w:lineRule="auto"/>
              <w:jc w:val="center"/>
              <w:rPr>
                <w:lang w:val="id-ID"/>
              </w:rPr>
            </w:pPr>
          </w:p>
        </w:tc>
        <w:tc>
          <w:tcPr>
            <w:tcW w:w="3500" w:type="pct"/>
            <w:vAlign w:val="center"/>
          </w:tcPr>
          <w:p w:rsidR="004A4F48" w:rsidRPr="009B71B8" w:rsidRDefault="00056D3F" w:rsidP="00AC3096">
            <w:pPr>
              <w:spacing w:line="480" w:lineRule="auto"/>
              <w:jc w:val="center"/>
              <w:rPr>
                <w:rFonts w:eastAsia="MS Mincho"/>
                <w:lang w:val="id-ID"/>
              </w:rPr>
            </w:pPr>
            <m:oMathPara>
              <m:oMath>
                <m:r>
                  <m:rPr>
                    <m:nor/>
                  </m:rPr>
                  <w:rPr>
                    <w:rFonts w:eastAsia="MS Mincho"/>
                    <w:lang w:val="id-ID"/>
                  </w:rPr>
                  <m:t>U-WS=WS sin (</m:t>
                </m:r>
                <m:f>
                  <m:fPr>
                    <m:ctrlPr>
                      <w:rPr>
                        <w:rFonts w:ascii="Cambria Math" w:eastAsia="MS Mincho" w:hAnsi="Cambria Math"/>
                        <w:i/>
                        <w:lang w:val="id-ID"/>
                      </w:rPr>
                    </m:ctrlPr>
                  </m:fPr>
                  <m:num>
                    <m:r>
                      <m:rPr>
                        <m:nor/>
                      </m:rPr>
                      <w:rPr>
                        <w:rFonts w:eastAsia="MS Mincho"/>
                        <w:lang w:val="id-ID"/>
                      </w:rPr>
                      <m:t>π</m:t>
                    </m:r>
                  </m:num>
                  <m:den>
                    <m:r>
                      <m:rPr>
                        <m:nor/>
                      </m:rPr>
                      <w:rPr>
                        <w:rFonts w:eastAsia="MS Mincho"/>
                        <w:lang w:val="id-ID"/>
                      </w:rPr>
                      <m:t>180</m:t>
                    </m:r>
                  </m:den>
                </m:f>
                <m:r>
                  <m:rPr>
                    <m:nor/>
                  </m:rPr>
                  <w:rPr>
                    <w:rFonts w:eastAsia="MS Mincho"/>
                    <w:lang w:val="id-ID"/>
                  </w:rPr>
                  <m:t>WD)              V-WS=WS cos (</m:t>
                </m:r>
                <m:f>
                  <m:fPr>
                    <m:ctrlPr>
                      <w:rPr>
                        <w:rFonts w:ascii="Cambria Math" w:eastAsia="MS Mincho" w:hAnsi="Cambria Math"/>
                        <w:i/>
                        <w:lang w:val="id-ID"/>
                      </w:rPr>
                    </m:ctrlPr>
                  </m:fPr>
                  <m:num>
                    <m:r>
                      <m:rPr>
                        <m:nor/>
                      </m:rPr>
                      <w:rPr>
                        <w:rFonts w:eastAsia="MS Mincho"/>
                        <w:lang w:val="id-ID"/>
                      </w:rPr>
                      <m:t>π</m:t>
                    </m:r>
                  </m:num>
                  <m:den>
                    <m:r>
                      <m:rPr>
                        <m:nor/>
                      </m:rPr>
                      <w:rPr>
                        <w:rFonts w:eastAsia="MS Mincho"/>
                        <w:lang w:val="id-ID"/>
                      </w:rPr>
                      <m:t>180</m:t>
                    </m:r>
                  </m:den>
                </m:f>
                <m:r>
                  <m:rPr>
                    <m:nor/>
                  </m:rPr>
                  <w:rPr>
                    <w:rFonts w:eastAsia="MS Mincho"/>
                    <w:lang w:val="id-ID"/>
                  </w:rPr>
                  <m:t>WD)</m:t>
                </m:r>
              </m:oMath>
            </m:oMathPara>
          </w:p>
        </w:tc>
        <w:tc>
          <w:tcPr>
            <w:tcW w:w="750" w:type="pct"/>
            <w:vAlign w:val="center"/>
          </w:tcPr>
          <w:p w:rsidR="004A4F48" w:rsidRPr="009B71B8" w:rsidRDefault="003A1D88" w:rsidP="004A4F48">
            <w:pPr>
              <w:autoSpaceDE w:val="0"/>
              <w:autoSpaceDN w:val="0"/>
              <w:adjustRightInd w:val="0"/>
              <w:spacing w:line="480" w:lineRule="auto"/>
              <w:jc w:val="center"/>
              <w:rPr>
                <w:lang w:val="id-ID"/>
              </w:rPr>
            </w:pPr>
            <w:r w:rsidRPr="009B71B8">
              <w:rPr>
                <w:lang w:val="id-ID"/>
              </w:rPr>
              <w:t>(1</w:t>
            </w:r>
            <w:r w:rsidR="004A4F48" w:rsidRPr="009B71B8">
              <w:rPr>
                <w:lang w:val="id-ID"/>
              </w:rPr>
              <w:t>)</w:t>
            </w:r>
          </w:p>
        </w:tc>
      </w:tr>
    </w:tbl>
    <w:p w:rsidR="005C3A1C" w:rsidRPr="009B71B8" w:rsidRDefault="00A1260F" w:rsidP="005C3A1C">
      <w:pPr>
        <w:spacing w:line="360" w:lineRule="auto"/>
        <w:jc w:val="both"/>
        <w:rPr>
          <w:lang w:val="id-ID"/>
        </w:rPr>
      </w:pPr>
      <w:r w:rsidRPr="009B71B8">
        <w:rPr>
          <w:lang w:val="id-ID"/>
        </w:rPr>
        <w:t xml:space="preserve">Zonal klimatologi </w:t>
      </w:r>
      <w:r w:rsidR="00453C22" w:rsidRPr="009B71B8">
        <w:rPr>
          <w:lang w:val="id-ID"/>
        </w:rPr>
        <w:t xml:space="preserve">rata-rata </w:t>
      </w:r>
      <w:r w:rsidR="004228C1" w:rsidRPr="009B71B8">
        <w:rPr>
          <w:lang w:val="id-ID"/>
        </w:rPr>
        <w:t xml:space="preserve">dari WS, WD, U-WS dan V-WS </w:t>
      </w:r>
      <w:r w:rsidRPr="009B71B8">
        <w:rPr>
          <w:lang w:val="id-ID"/>
        </w:rPr>
        <w:t xml:space="preserve">dihitung pada derajat </w:t>
      </w:r>
      <w:r w:rsidR="005129E0" w:rsidRPr="009B71B8">
        <w:rPr>
          <w:lang w:val="id-ID"/>
        </w:rPr>
        <w:t>20</w:t>
      </w:r>
      <w:r w:rsidR="005129E0" w:rsidRPr="009B71B8">
        <w:rPr>
          <w:vertAlign w:val="superscript"/>
          <w:lang w:val="id-ID"/>
        </w:rPr>
        <w:t>o</w:t>
      </w:r>
      <w:r w:rsidR="005129E0" w:rsidRPr="009B71B8">
        <w:rPr>
          <w:lang w:val="id-ID"/>
        </w:rPr>
        <w:t xml:space="preserve"> S, 15</w:t>
      </w:r>
      <w:r w:rsidR="005129E0" w:rsidRPr="009B71B8">
        <w:rPr>
          <w:vertAlign w:val="superscript"/>
          <w:lang w:val="id-ID"/>
        </w:rPr>
        <w:t>o</w:t>
      </w:r>
      <w:r w:rsidR="005129E0" w:rsidRPr="009B71B8">
        <w:rPr>
          <w:lang w:val="id-ID"/>
        </w:rPr>
        <w:t xml:space="preserve"> S, 10</w:t>
      </w:r>
      <w:r w:rsidR="005129E0" w:rsidRPr="009B71B8">
        <w:rPr>
          <w:vertAlign w:val="superscript"/>
          <w:lang w:val="id-ID"/>
        </w:rPr>
        <w:t>o</w:t>
      </w:r>
      <w:r w:rsidR="005129E0" w:rsidRPr="009B71B8">
        <w:rPr>
          <w:lang w:val="id-ID"/>
        </w:rPr>
        <w:t xml:space="preserve"> S, 5</w:t>
      </w:r>
      <w:r w:rsidR="005129E0" w:rsidRPr="009B71B8">
        <w:rPr>
          <w:vertAlign w:val="superscript"/>
          <w:lang w:val="id-ID"/>
        </w:rPr>
        <w:t>o</w:t>
      </w:r>
      <w:r w:rsidR="005129E0" w:rsidRPr="009B71B8">
        <w:rPr>
          <w:lang w:val="id-ID"/>
        </w:rPr>
        <w:t xml:space="preserve"> S, EQ, 5</w:t>
      </w:r>
      <w:r w:rsidR="005129E0" w:rsidRPr="009B71B8">
        <w:rPr>
          <w:vertAlign w:val="superscript"/>
          <w:lang w:val="id-ID"/>
        </w:rPr>
        <w:t>o</w:t>
      </w:r>
      <w:r w:rsidR="005129E0" w:rsidRPr="009B71B8">
        <w:rPr>
          <w:lang w:val="id-ID"/>
        </w:rPr>
        <w:t xml:space="preserve"> N, 10</w:t>
      </w:r>
      <w:r w:rsidR="005129E0" w:rsidRPr="009B71B8">
        <w:rPr>
          <w:vertAlign w:val="superscript"/>
          <w:lang w:val="id-ID"/>
        </w:rPr>
        <w:t>o</w:t>
      </w:r>
      <w:r w:rsidR="005129E0" w:rsidRPr="009B71B8">
        <w:rPr>
          <w:lang w:val="id-ID"/>
        </w:rPr>
        <w:t xml:space="preserve"> N, 15</w:t>
      </w:r>
      <w:r w:rsidR="005129E0" w:rsidRPr="009B71B8">
        <w:rPr>
          <w:vertAlign w:val="superscript"/>
          <w:lang w:val="id-ID"/>
        </w:rPr>
        <w:t>o</w:t>
      </w:r>
      <w:r w:rsidR="005129E0" w:rsidRPr="009B71B8">
        <w:rPr>
          <w:lang w:val="id-ID"/>
        </w:rPr>
        <w:t xml:space="preserve"> N, 20</w:t>
      </w:r>
      <w:r w:rsidR="005129E0" w:rsidRPr="009B71B8">
        <w:rPr>
          <w:vertAlign w:val="superscript"/>
          <w:lang w:val="id-ID"/>
        </w:rPr>
        <w:t>o</w:t>
      </w:r>
      <w:r w:rsidRPr="009B71B8">
        <w:rPr>
          <w:lang w:val="id-ID"/>
        </w:rPr>
        <w:t xml:space="preserve"> N</w:t>
      </w:r>
      <w:r w:rsidR="005129E0" w:rsidRPr="009B71B8">
        <w:rPr>
          <w:lang w:val="id-ID"/>
        </w:rPr>
        <w:t xml:space="preserve"> </w:t>
      </w:r>
      <w:r w:rsidRPr="009B71B8">
        <w:rPr>
          <w:lang w:val="id-ID"/>
        </w:rPr>
        <w:t>(</w:t>
      </w:r>
      <m:oMath>
        <m:sSub>
          <m:sSubPr>
            <m:ctrlPr>
              <w:rPr>
                <w:rFonts w:ascii="Cambria Math" w:eastAsia="MS Mincho" w:hAnsi="Cambria Math"/>
                <w:i/>
                <w:lang w:val="id-ID"/>
              </w:rPr>
            </m:ctrlPr>
          </m:sSubPr>
          <m:e>
            <m:acc>
              <m:accPr>
                <m:chr m:val="̅"/>
                <m:ctrlPr>
                  <w:rPr>
                    <w:rFonts w:ascii="Cambria Math" w:eastAsia="MS Mincho" w:hAnsi="Cambria Math"/>
                    <w:i/>
                    <w:lang w:val="id-ID"/>
                  </w:rPr>
                </m:ctrlPr>
              </m:accPr>
              <m:e>
                <m:r>
                  <m:rPr>
                    <m:nor/>
                  </m:rPr>
                  <w:rPr>
                    <w:rFonts w:eastAsia="MS Mincho"/>
                    <w:lang w:val="id-ID"/>
                  </w:rPr>
                  <m:t>Zonal</m:t>
                </m:r>
              </m:e>
            </m:acc>
          </m:e>
          <m:sub>
            <m:r>
              <m:rPr>
                <m:nor/>
              </m:rPr>
              <w:rPr>
                <w:rFonts w:eastAsia="MS Mincho"/>
                <w:lang w:val="id-ID"/>
              </w:rPr>
              <m:t>m,k</m:t>
            </m:r>
          </m:sub>
        </m:sSub>
      </m:oMath>
      <w:r w:rsidR="00FF51ED" w:rsidRPr="009B71B8">
        <w:rPr>
          <w:lang w:val="id-ID"/>
        </w:rPr>
        <w:t xml:space="preserve">) </w:t>
      </w:r>
      <w:r w:rsidRPr="009B71B8">
        <w:rPr>
          <w:lang w:val="id-ID"/>
        </w:rPr>
        <w:t>menggunakan persamaan (2)</w:t>
      </w:r>
      <w:r w:rsidR="005129E0" w:rsidRPr="009B71B8">
        <w:rPr>
          <w:lang w:val="id-ID"/>
        </w:rPr>
        <w:t xml:space="preserve">. </w:t>
      </w:r>
      <w:r w:rsidR="005C3A1C" w:rsidRPr="009B71B8">
        <w:rPr>
          <w:lang w:val="id-ID"/>
        </w:rPr>
        <w:t xml:space="preserve">Dimana </w:t>
      </w:r>
      <w:r w:rsidR="005C3A1C" w:rsidRPr="009B71B8">
        <w:rPr>
          <w:i/>
          <w:lang w:val="id-ID"/>
        </w:rPr>
        <w:t>N</w:t>
      </w:r>
      <w:r w:rsidR="005C3A1C" w:rsidRPr="009B71B8">
        <w:rPr>
          <w:lang w:val="id-ID"/>
        </w:rPr>
        <w:t xml:space="preserve"> adalah total grid pada rentang tahun (1997-2009) tanpa grid dengan status </w:t>
      </w:r>
      <w:r w:rsidR="005C3A1C" w:rsidRPr="009B71B8">
        <w:rPr>
          <w:i/>
          <w:lang w:val="id-ID"/>
        </w:rPr>
        <w:t>no-data</w:t>
      </w:r>
      <w:r w:rsidR="005C3A1C" w:rsidRPr="009B71B8">
        <w:rPr>
          <w:lang w:val="id-ID"/>
        </w:rPr>
        <w:t xml:space="preserve">. </w:t>
      </w:r>
    </w:p>
    <w:tbl>
      <w:tblPr>
        <w:tblW w:w="5000" w:type="pct"/>
        <w:tblLook w:val="04A0"/>
      </w:tblPr>
      <w:tblGrid>
        <w:gridCol w:w="1308"/>
        <w:gridCol w:w="6105"/>
        <w:gridCol w:w="1308"/>
      </w:tblGrid>
      <w:tr w:rsidR="005129E0" w:rsidRPr="009B71B8" w:rsidTr="00AC3096">
        <w:trPr>
          <w:cantSplit/>
          <w:trHeight w:val="819"/>
        </w:trPr>
        <w:tc>
          <w:tcPr>
            <w:tcW w:w="750" w:type="pct"/>
            <w:vAlign w:val="center"/>
          </w:tcPr>
          <w:p w:rsidR="005129E0" w:rsidRPr="009B71B8" w:rsidRDefault="005129E0" w:rsidP="005129E0">
            <w:pPr>
              <w:spacing w:line="480" w:lineRule="auto"/>
              <w:jc w:val="center"/>
              <w:rPr>
                <w:lang w:val="id-ID"/>
              </w:rPr>
            </w:pPr>
          </w:p>
        </w:tc>
        <w:tc>
          <w:tcPr>
            <w:tcW w:w="3500" w:type="pct"/>
            <w:vAlign w:val="center"/>
          </w:tcPr>
          <w:p w:rsidR="005129E0" w:rsidRPr="009B71B8" w:rsidRDefault="008645E2" w:rsidP="00527357">
            <w:pPr>
              <w:spacing w:line="480" w:lineRule="auto"/>
              <w:jc w:val="center"/>
              <w:rPr>
                <w:rFonts w:eastAsia="MS Mincho"/>
                <w:lang w:val="id-ID"/>
              </w:rPr>
            </w:pPr>
            <m:oMathPara>
              <m:oMath>
                <m:sSub>
                  <m:sSubPr>
                    <m:ctrlPr>
                      <w:rPr>
                        <w:rFonts w:ascii="Cambria Math" w:eastAsia="MS Mincho" w:hAnsi="Cambria Math"/>
                        <w:i/>
                        <w:lang w:val="id-ID"/>
                      </w:rPr>
                    </m:ctrlPr>
                  </m:sSubPr>
                  <m:e>
                    <m:acc>
                      <m:accPr>
                        <m:chr m:val="̅"/>
                        <m:ctrlPr>
                          <w:rPr>
                            <w:rFonts w:ascii="Cambria Math" w:eastAsia="MS Mincho" w:hAnsi="Cambria Math"/>
                            <w:i/>
                            <w:lang w:val="id-ID"/>
                          </w:rPr>
                        </m:ctrlPr>
                      </m:accPr>
                      <m:e>
                        <m:r>
                          <m:rPr>
                            <m:nor/>
                          </m:rPr>
                          <w:rPr>
                            <w:rFonts w:eastAsia="MS Mincho"/>
                            <w:lang w:val="id-ID"/>
                          </w:rPr>
                          <m:t>Zonal</m:t>
                        </m:r>
                      </m:e>
                    </m:acc>
                  </m:e>
                  <m:sub>
                    <m:r>
                      <m:rPr>
                        <m:nor/>
                      </m:rPr>
                      <w:rPr>
                        <w:rFonts w:eastAsia="MS Mincho"/>
                        <w:lang w:val="id-ID"/>
                      </w:rPr>
                      <m:t>m,k</m:t>
                    </m:r>
                  </m:sub>
                </m:sSub>
                <m:r>
                  <m:rPr>
                    <m:nor/>
                  </m:rPr>
                  <w:rPr>
                    <w:rFonts w:eastAsia="MS Mincho"/>
                    <w:lang w:val="id-ID"/>
                  </w:rPr>
                  <m:t>=</m:t>
                </m:r>
                <m:f>
                  <m:fPr>
                    <m:ctrlPr>
                      <w:rPr>
                        <w:rFonts w:ascii="Cambria Math" w:eastAsia="MS Mincho" w:hAnsi="Cambria Math"/>
                        <w:i/>
                        <w:lang w:val="id-ID"/>
                      </w:rPr>
                    </m:ctrlPr>
                  </m:fPr>
                  <m:num>
                    <m:r>
                      <m:rPr>
                        <m:nor/>
                      </m:rPr>
                      <w:rPr>
                        <w:rFonts w:eastAsia="MS Mincho"/>
                        <w:lang w:val="id-ID"/>
                      </w:rPr>
                      <m:t>1</m:t>
                    </m:r>
                  </m:num>
                  <m:den>
                    <m:r>
                      <m:rPr>
                        <m:nor/>
                      </m:rPr>
                      <w:rPr>
                        <w:rFonts w:eastAsia="MS Mincho"/>
                        <w:lang w:val="id-ID"/>
                      </w:rPr>
                      <m:t>N</m:t>
                    </m:r>
                  </m:den>
                </m:f>
                <m:nary>
                  <m:naryPr>
                    <m:chr m:val="∑"/>
                    <m:limLoc m:val="undOvr"/>
                    <m:ctrlPr>
                      <w:rPr>
                        <w:rFonts w:ascii="Cambria Math" w:eastAsia="MS Mincho" w:hAnsi="Cambria Math"/>
                        <w:i/>
                        <w:lang w:val="id-ID"/>
                      </w:rPr>
                    </m:ctrlPr>
                  </m:naryPr>
                  <m:sub>
                    <m:r>
                      <m:rPr>
                        <m:nor/>
                      </m:rPr>
                      <w:rPr>
                        <w:rFonts w:eastAsia="MS Mincho"/>
                        <w:lang w:val="id-ID"/>
                      </w:rPr>
                      <m:t>i=1</m:t>
                    </m:r>
                  </m:sub>
                  <m:sup>
                    <m:r>
                      <m:rPr>
                        <m:nor/>
                      </m:rPr>
                      <w:rPr>
                        <w:rFonts w:eastAsia="MS Mincho"/>
                        <w:lang w:val="id-ID"/>
                      </w:rPr>
                      <m:t>N</m:t>
                    </m:r>
                  </m:sup>
                  <m:e>
                    <m:sSub>
                      <m:sSubPr>
                        <m:ctrlPr>
                          <w:rPr>
                            <w:rFonts w:ascii="Cambria Math" w:eastAsia="MS Mincho" w:hAnsi="Cambria Math"/>
                            <w:i/>
                            <w:lang w:val="id-ID"/>
                          </w:rPr>
                        </m:ctrlPr>
                      </m:sSubPr>
                      <m:e>
                        <m:r>
                          <m:rPr>
                            <m:nor/>
                          </m:rPr>
                          <w:rPr>
                            <w:rFonts w:eastAsia="MS Mincho"/>
                            <w:lang w:val="id-ID"/>
                          </w:rPr>
                          <m:t>Zonal</m:t>
                        </m:r>
                      </m:e>
                      <m:sub>
                        <m:r>
                          <m:rPr>
                            <m:nor/>
                          </m:rPr>
                          <w:rPr>
                            <w:rFonts w:eastAsia="MS Mincho"/>
                            <w:lang w:val="id-ID"/>
                          </w:rPr>
                          <m:t>m,k</m:t>
                        </m:r>
                      </m:sub>
                    </m:sSub>
                  </m:e>
                </m:nary>
              </m:oMath>
            </m:oMathPara>
          </w:p>
        </w:tc>
        <w:tc>
          <w:tcPr>
            <w:tcW w:w="750" w:type="pct"/>
            <w:vAlign w:val="center"/>
          </w:tcPr>
          <w:p w:rsidR="005129E0" w:rsidRPr="009B71B8" w:rsidRDefault="004347AA" w:rsidP="005129E0">
            <w:pPr>
              <w:autoSpaceDE w:val="0"/>
              <w:autoSpaceDN w:val="0"/>
              <w:adjustRightInd w:val="0"/>
              <w:spacing w:line="480" w:lineRule="auto"/>
              <w:jc w:val="center"/>
              <w:rPr>
                <w:lang w:val="id-ID"/>
              </w:rPr>
            </w:pPr>
            <w:r w:rsidRPr="009B71B8">
              <w:rPr>
                <w:lang w:val="id-ID"/>
              </w:rPr>
              <w:t>(2</w:t>
            </w:r>
            <w:r w:rsidR="005129E0" w:rsidRPr="009B71B8">
              <w:rPr>
                <w:lang w:val="id-ID"/>
              </w:rPr>
              <w:t>)</w:t>
            </w:r>
          </w:p>
        </w:tc>
      </w:tr>
    </w:tbl>
    <w:p w:rsidR="005129E0" w:rsidRPr="009B71B8" w:rsidRDefault="00B475D6" w:rsidP="00760138">
      <w:pPr>
        <w:spacing w:line="360" w:lineRule="auto"/>
        <w:jc w:val="both"/>
        <w:rPr>
          <w:lang w:val="id-ID"/>
        </w:rPr>
      </w:pPr>
      <w:r w:rsidRPr="009B71B8">
        <w:rPr>
          <w:lang w:val="id-ID"/>
        </w:rPr>
        <w:t>Pola vektor angin dis</w:t>
      </w:r>
      <w:r w:rsidR="00F27117" w:rsidRPr="009B71B8">
        <w:rPr>
          <w:lang w:val="id-ID"/>
        </w:rPr>
        <w:t>etiap grid didapat setelah melak</w:t>
      </w:r>
      <w:r w:rsidRPr="009B71B8">
        <w:rPr>
          <w:lang w:val="id-ID"/>
        </w:rPr>
        <w:t xml:space="preserve">ukan perhitungan rata-rata </w:t>
      </w:r>
      <w:r w:rsidR="008F05F4" w:rsidRPr="009B71B8">
        <w:rPr>
          <w:lang w:val="id-ID"/>
        </w:rPr>
        <w:t>klmatol</w:t>
      </w:r>
      <w:r w:rsidR="00693A34" w:rsidRPr="009B71B8">
        <w:rPr>
          <w:lang w:val="id-ID"/>
        </w:rPr>
        <w:t xml:space="preserve">ogi untuk komponen vektor angin ( </w:t>
      </w:r>
      <m:oMath>
        <m:sSub>
          <m:sSubPr>
            <m:ctrlPr>
              <w:rPr>
                <w:rFonts w:ascii="Cambria Math" w:eastAsia="MS Mincho" w:hAnsi="Cambria Math"/>
                <w:i/>
                <w:lang w:val="id-ID"/>
              </w:rPr>
            </m:ctrlPr>
          </m:sSubPr>
          <m:e>
            <m:acc>
              <m:accPr>
                <m:chr m:val="̅"/>
                <m:ctrlPr>
                  <w:rPr>
                    <w:rFonts w:ascii="Cambria Math" w:eastAsia="MS Mincho" w:hAnsi="Cambria Math"/>
                    <w:i/>
                    <w:lang w:val="id-ID"/>
                  </w:rPr>
                </m:ctrlPr>
              </m:accPr>
              <m:e>
                <m:r>
                  <m:rPr>
                    <m:nor/>
                  </m:rPr>
                  <w:rPr>
                    <w:rFonts w:eastAsia="MS Mincho"/>
                    <w:lang w:val="id-ID"/>
                  </w:rPr>
                  <m:t>U-WS</m:t>
                </m:r>
              </m:e>
            </m:acc>
          </m:e>
          <m:sub>
            <m:r>
              <m:rPr>
                <m:nor/>
              </m:rPr>
              <w:rPr>
                <w:rFonts w:eastAsia="MS Mincho"/>
                <w:lang w:val="id-ID"/>
              </w:rPr>
              <m:t>grid</m:t>
            </m:r>
          </m:sub>
        </m:sSub>
      </m:oMath>
      <w:r w:rsidR="005129E0" w:rsidRPr="009B71B8">
        <w:rPr>
          <w:lang w:val="id-ID"/>
        </w:rPr>
        <w:t xml:space="preserve">) </w:t>
      </w:r>
      <w:r w:rsidR="00F27117" w:rsidRPr="009B71B8">
        <w:rPr>
          <w:lang w:val="id-ID"/>
        </w:rPr>
        <w:t>dan</w:t>
      </w:r>
      <w:r w:rsidR="005129E0" w:rsidRPr="009B71B8">
        <w:rPr>
          <w:lang w:val="id-ID"/>
        </w:rPr>
        <w:t xml:space="preserve"> ( </w:t>
      </w:r>
      <m:oMath>
        <m:sSub>
          <m:sSubPr>
            <m:ctrlPr>
              <w:rPr>
                <w:rFonts w:ascii="Cambria Math" w:eastAsia="MS Mincho" w:hAnsi="Cambria Math"/>
                <w:i/>
                <w:lang w:val="id-ID"/>
              </w:rPr>
            </m:ctrlPr>
          </m:sSubPr>
          <m:e>
            <m:acc>
              <m:accPr>
                <m:chr m:val="̅"/>
                <m:ctrlPr>
                  <w:rPr>
                    <w:rFonts w:ascii="Cambria Math" w:eastAsia="MS Mincho" w:hAnsi="Cambria Math"/>
                    <w:i/>
                    <w:lang w:val="id-ID"/>
                  </w:rPr>
                </m:ctrlPr>
              </m:accPr>
              <m:e>
                <m:r>
                  <m:rPr>
                    <m:nor/>
                  </m:rPr>
                  <w:rPr>
                    <w:rFonts w:eastAsia="MS Mincho"/>
                    <w:lang w:val="id-ID"/>
                  </w:rPr>
                  <m:t>V-WS</m:t>
                </m:r>
              </m:e>
            </m:acc>
          </m:e>
          <m:sub>
            <m:r>
              <m:rPr>
                <m:nor/>
              </m:rPr>
              <w:rPr>
                <w:rFonts w:eastAsia="MS Mincho"/>
                <w:lang w:val="id-ID"/>
              </w:rPr>
              <m:t>grid</m:t>
            </m:r>
          </m:sub>
        </m:sSub>
      </m:oMath>
      <w:r w:rsidR="00693A34" w:rsidRPr="009B71B8">
        <w:rPr>
          <w:lang w:val="id-ID"/>
        </w:rPr>
        <w:t xml:space="preserve"> )</w:t>
      </w:r>
      <w:r w:rsidR="00F27117" w:rsidRPr="009B71B8">
        <w:rPr>
          <w:lang w:val="id-ID"/>
        </w:rPr>
        <w:t xml:space="preserve"> </w:t>
      </w:r>
      <w:r w:rsidR="00693A34" w:rsidRPr="009B71B8">
        <w:rPr>
          <w:lang w:val="id-ID"/>
        </w:rPr>
        <w:t xml:space="preserve"> </w:t>
      </w:r>
      <w:r w:rsidR="00F27117" w:rsidRPr="009B71B8">
        <w:rPr>
          <w:lang w:val="id-ID"/>
        </w:rPr>
        <w:t xml:space="preserve">menggunakan persamaan (3). Dimana </w:t>
      </w:r>
      <w:r w:rsidR="00F27117" w:rsidRPr="009B71B8">
        <w:rPr>
          <w:i/>
          <w:lang w:val="id-ID"/>
        </w:rPr>
        <w:t xml:space="preserve">M </w:t>
      </w:r>
      <w:r w:rsidR="00F27117" w:rsidRPr="009B71B8">
        <w:rPr>
          <w:lang w:val="id-ID"/>
        </w:rPr>
        <w:t>adalah rentang tahun (1997-2009). Selanjutnya pola klimatologi vektor angin</w:t>
      </w:r>
      <w:r w:rsidR="00AC3096" w:rsidRPr="009B71B8">
        <w:rPr>
          <w:lang w:val="id-ID"/>
        </w:rPr>
        <w:t xml:space="preserve"> diplot dengan Grads tool.</w:t>
      </w:r>
    </w:p>
    <w:tbl>
      <w:tblPr>
        <w:tblW w:w="5000" w:type="pct"/>
        <w:tblLook w:val="04A0"/>
      </w:tblPr>
      <w:tblGrid>
        <w:gridCol w:w="1308"/>
        <w:gridCol w:w="6105"/>
        <w:gridCol w:w="1308"/>
      </w:tblGrid>
      <w:tr w:rsidR="005129E0" w:rsidRPr="009B71B8" w:rsidTr="005129E0">
        <w:trPr>
          <w:cantSplit/>
          <w:trHeight w:val="153"/>
        </w:trPr>
        <w:tc>
          <w:tcPr>
            <w:tcW w:w="750" w:type="pct"/>
            <w:vAlign w:val="center"/>
          </w:tcPr>
          <w:p w:rsidR="005129E0" w:rsidRPr="009B71B8" w:rsidRDefault="005129E0" w:rsidP="005129E0">
            <w:pPr>
              <w:spacing w:line="480" w:lineRule="auto"/>
              <w:jc w:val="center"/>
              <w:rPr>
                <w:lang w:val="id-ID"/>
              </w:rPr>
            </w:pPr>
            <w:r w:rsidRPr="009B71B8">
              <w:rPr>
                <w:lang w:val="id-ID"/>
              </w:rPr>
              <w:t xml:space="preserve"> </w:t>
            </w:r>
          </w:p>
        </w:tc>
        <w:tc>
          <w:tcPr>
            <w:tcW w:w="3500" w:type="pct"/>
            <w:vAlign w:val="center"/>
          </w:tcPr>
          <w:p w:rsidR="005129E0" w:rsidRPr="009B71B8" w:rsidRDefault="008645E2" w:rsidP="00AC3096">
            <w:pPr>
              <w:spacing w:line="480" w:lineRule="auto"/>
              <w:jc w:val="center"/>
              <w:rPr>
                <w:rFonts w:eastAsia="MS Mincho"/>
                <w:lang w:val="id-ID"/>
              </w:rPr>
            </w:pPr>
            <m:oMathPara>
              <m:oMath>
                <m:sSub>
                  <m:sSubPr>
                    <m:ctrlPr>
                      <w:rPr>
                        <w:rFonts w:ascii="Cambria Math" w:eastAsia="MS Mincho" w:hAnsi="Cambria Math"/>
                        <w:i/>
                        <w:lang w:val="id-ID"/>
                      </w:rPr>
                    </m:ctrlPr>
                  </m:sSubPr>
                  <m:e>
                    <m:acc>
                      <m:accPr>
                        <m:chr m:val="̅"/>
                        <m:ctrlPr>
                          <w:rPr>
                            <w:rFonts w:ascii="Cambria Math" w:eastAsia="MS Mincho" w:hAnsi="Cambria Math"/>
                            <w:i/>
                            <w:lang w:val="id-ID"/>
                          </w:rPr>
                        </m:ctrlPr>
                      </m:accPr>
                      <m:e>
                        <m:r>
                          <m:rPr>
                            <m:nor/>
                          </m:rPr>
                          <w:rPr>
                            <w:rFonts w:eastAsia="MS Mincho"/>
                            <w:lang w:val="id-ID"/>
                          </w:rPr>
                          <m:t>U-WS</m:t>
                        </m:r>
                      </m:e>
                    </m:acc>
                  </m:e>
                  <m:sub>
                    <m:r>
                      <m:rPr>
                        <m:nor/>
                      </m:rPr>
                      <w:rPr>
                        <w:rFonts w:eastAsia="MS Mincho"/>
                        <w:lang w:val="id-ID"/>
                      </w:rPr>
                      <m:t>grid</m:t>
                    </m:r>
                  </m:sub>
                </m:sSub>
                <m:r>
                  <m:rPr>
                    <m:nor/>
                  </m:rPr>
                  <w:rPr>
                    <w:rFonts w:eastAsia="MS Mincho"/>
                    <w:lang w:val="id-ID"/>
                  </w:rPr>
                  <m:t>=</m:t>
                </m:r>
                <m:f>
                  <m:fPr>
                    <m:ctrlPr>
                      <w:rPr>
                        <w:rFonts w:ascii="Cambria Math" w:eastAsia="MS Mincho" w:hAnsi="Cambria Math"/>
                        <w:i/>
                        <w:lang w:val="id-ID"/>
                      </w:rPr>
                    </m:ctrlPr>
                  </m:fPr>
                  <m:num>
                    <m:r>
                      <m:rPr>
                        <m:nor/>
                      </m:rPr>
                      <w:rPr>
                        <w:rFonts w:eastAsia="MS Mincho"/>
                        <w:lang w:val="id-ID"/>
                      </w:rPr>
                      <m:t>1</m:t>
                    </m:r>
                  </m:num>
                  <m:den>
                    <m:r>
                      <m:rPr>
                        <m:nor/>
                      </m:rPr>
                      <w:rPr>
                        <w:rFonts w:eastAsia="MS Mincho"/>
                        <w:lang w:val="id-ID"/>
                      </w:rPr>
                      <m:t>M</m:t>
                    </m:r>
                  </m:den>
                </m:f>
                <m:nary>
                  <m:naryPr>
                    <m:chr m:val="∑"/>
                    <m:limLoc m:val="undOvr"/>
                    <m:ctrlPr>
                      <w:rPr>
                        <w:rFonts w:ascii="Cambria Math" w:eastAsia="MS Mincho" w:hAnsi="Cambria Math"/>
                        <w:i/>
                        <w:lang w:val="id-ID"/>
                      </w:rPr>
                    </m:ctrlPr>
                  </m:naryPr>
                  <m:sub>
                    <m:r>
                      <m:rPr>
                        <m:nor/>
                      </m:rPr>
                      <w:rPr>
                        <w:rFonts w:eastAsia="MS Mincho"/>
                        <w:lang w:val="id-ID"/>
                      </w:rPr>
                      <m:t>i=1</m:t>
                    </m:r>
                  </m:sub>
                  <m:sup>
                    <m:r>
                      <m:rPr>
                        <m:nor/>
                      </m:rPr>
                      <w:rPr>
                        <w:rFonts w:eastAsia="MS Mincho"/>
                        <w:lang w:val="id-ID"/>
                      </w:rPr>
                      <m:t>M</m:t>
                    </m:r>
                  </m:sup>
                  <m:e>
                    <m:sSub>
                      <m:sSubPr>
                        <m:ctrlPr>
                          <w:rPr>
                            <w:rFonts w:ascii="Cambria Math" w:eastAsia="MS Mincho" w:hAnsi="Cambria Math"/>
                            <w:i/>
                            <w:lang w:val="id-ID"/>
                          </w:rPr>
                        </m:ctrlPr>
                      </m:sSubPr>
                      <m:e>
                        <m:r>
                          <m:rPr>
                            <m:nor/>
                          </m:rPr>
                          <w:rPr>
                            <w:rFonts w:eastAsia="MS Mincho"/>
                            <w:lang w:val="id-ID"/>
                          </w:rPr>
                          <m:t>U-WS</m:t>
                        </m:r>
                      </m:e>
                      <m:sub>
                        <m:r>
                          <m:rPr>
                            <m:nor/>
                          </m:rPr>
                          <w:rPr>
                            <w:rFonts w:eastAsia="MS Mincho"/>
                            <w:lang w:val="id-ID"/>
                          </w:rPr>
                          <m:t>i</m:t>
                        </m:r>
                      </m:sub>
                    </m:sSub>
                  </m:e>
                </m:nary>
                <m:r>
                  <w:rPr>
                    <w:rFonts w:ascii="Cambria Math" w:eastAsia="MS Mincho"/>
                    <w:lang w:val="id-ID"/>
                  </w:rPr>
                  <m:t xml:space="preserve">          </m:t>
                </m:r>
                <m:sSub>
                  <m:sSubPr>
                    <m:ctrlPr>
                      <w:rPr>
                        <w:rFonts w:ascii="Cambria Math" w:eastAsia="MS Mincho" w:hAnsi="Cambria Math"/>
                        <w:i/>
                        <w:lang w:val="id-ID"/>
                      </w:rPr>
                    </m:ctrlPr>
                  </m:sSubPr>
                  <m:e>
                    <m:acc>
                      <m:accPr>
                        <m:chr m:val="̅"/>
                        <m:ctrlPr>
                          <w:rPr>
                            <w:rFonts w:ascii="Cambria Math" w:eastAsia="MS Mincho" w:hAnsi="Cambria Math"/>
                            <w:i/>
                            <w:lang w:val="id-ID"/>
                          </w:rPr>
                        </m:ctrlPr>
                      </m:accPr>
                      <m:e>
                        <m:r>
                          <m:rPr>
                            <m:nor/>
                          </m:rPr>
                          <w:rPr>
                            <w:rFonts w:eastAsia="MS Mincho"/>
                            <w:lang w:val="id-ID"/>
                          </w:rPr>
                          <m:t>V-WS</m:t>
                        </m:r>
                      </m:e>
                    </m:acc>
                  </m:e>
                  <m:sub>
                    <m:r>
                      <m:rPr>
                        <m:nor/>
                      </m:rPr>
                      <w:rPr>
                        <w:rFonts w:eastAsia="MS Mincho"/>
                        <w:lang w:val="id-ID"/>
                      </w:rPr>
                      <m:t>grid</m:t>
                    </m:r>
                  </m:sub>
                </m:sSub>
                <m:r>
                  <m:rPr>
                    <m:nor/>
                  </m:rPr>
                  <w:rPr>
                    <w:rFonts w:eastAsia="MS Mincho"/>
                    <w:lang w:val="id-ID"/>
                  </w:rPr>
                  <m:t>=</m:t>
                </m:r>
                <m:f>
                  <m:fPr>
                    <m:ctrlPr>
                      <w:rPr>
                        <w:rFonts w:ascii="Cambria Math" w:eastAsia="MS Mincho" w:hAnsi="Cambria Math"/>
                        <w:i/>
                        <w:lang w:val="id-ID"/>
                      </w:rPr>
                    </m:ctrlPr>
                  </m:fPr>
                  <m:num>
                    <m:r>
                      <m:rPr>
                        <m:nor/>
                      </m:rPr>
                      <w:rPr>
                        <w:rFonts w:eastAsia="MS Mincho"/>
                        <w:lang w:val="id-ID"/>
                      </w:rPr>
                      <m:t>1</m:t>
                    </m:r>
                  </m:num>
                  <m:den>
                    <m:r>
                      <m:rPr>
                        <m:nor/>
                      </m:rPr>
                      <w:rPr>
                        <w:rFonts w:eastAsia="MS Mincho"/>
                        <w:lang w:val="id-ID"/>
                      </w:rPr>
                      <m:t>M</m:t>
                    </m:r>
                  </m:den>
                </m:f>
                <m:nary>
                  <m:naryPr>
                    <m:chr m:val="∑"/>
                    <m:limLoc m:val="undOvr"/>
                    <m:ctrlPr>
                      <w:rPr>
                        <w:rFonts w:ascii="Cambria Math" w:eastAsia="MS Mincho" w:hAnsi="Cambria Math"/>
                        <w:i/>
                        <w:lang w:val="id-ID"/>
                      </w:rPr>
                    </m:ctrlPr>
                  </m:naryPr>
                  <m:sub>
                    <m:r>
                      <m:rPr>
                        <m:nor/>
                      </m:rPr>
                      <w:rPr>
                        <w:rFonts w:eastAsia="MS Mincho"/>
                        <w:lang w:val="id-ID"/>
                      </w:rPr>
                      <m:t>i=1</m:t>
                    </m:r>
                  </m:sub>
                  <m:sup>
                    <m:r>
                      <m:rPr>
                        <m:nor/>
                      </m:rPr>
                      <w:rPr>
                        <w:rFonts w:eastAsia="MS Mincho"/>
                        <w:lang w:val="id-ID"/>
                      </w:rPr>
                      <m:t>M</m:t>
                    </m:r>
                  </m:sup>
                  <m:e>
                    <m:sSub>
                      <m:sSubPr>
                        <m:ctrlPr>
                          <w:rPr>
                            <w:rFonts w:ascii="Cambria Math" w:eastAsia="MS Mincho" w:hAnsi="Cambria Math"/>
                            <w:i/>
                            <w:lang w:val="id-ID"/>
                          </w:rPr>
                        </m:ctrlPr>
                      </m:sSubPr>
                      <m:e>
                        <m:r>
                          <m:rPr>
                            <m:nor/>
                          </m:rPr>
                          <w:rPr>
                            <w:rFonts w:eastAsia="MS Mincho"/>
                            <w:lang w:val="id-ID"/>
                          </w:rPr>
                          <m:t>V-WS</m:t>
                        </m:r>
                      </m:e>
                      <m:sub>
                        <m:r>
                          <m:rPr>
                            <m:nor/>
                          </m:rPr>
                          <w:rPr>
                            <w:rFonts w:eastAsia="MS Mincho"/>
                            <w:lang w:val="id-ID"/>
                          </w:rPr>
                          <m:t>i</m:t>
                        </m:r>
                      </m:sub>
                    </m:sSub>
                  </m:e>
                </m:nary>
              </m:oMath>
            </m:oMathPara>
          </w:p>
        </w:tc>
        <w:tc>
          <w:tcPr>
            <w:tcW w:w="750" w:type="pct"/>
            <w:vAlign w:val="center"/>
          </w:tcPr>
          <w:p w:rsidR="005129E0" w:rsidRPr="009B71B8" w:rsidRDefault="00F27117" w:rsidP="005129E0">
            <w:pPr>
              <w:autoSpaceDE w:val="0"/>
              <w:autoSpaceDN w:val="0"/>
              <w:adjustRightInd w:val="0"/>
              <w:spacing w:line="480" w:lineRule="auto"/>
              <w:jc w:val="center"/>
              <w:rPr>
                <w:lang w:val="id-ID"/>
              </w:rPr>
            </w:pPr>
            <w:r w:rsidRPr="009B71B8">
              <w:rPr>
                <w:lang w:val="id-ID"/>
              </w:rPr>
              <w:t>(3</w:t>
            </w:r>
            <w:r w:rsidR="005129E0" w:rsidRPr="009B71B8">
              <w:rPr>
                <w:lang w:val="id-ID"/>
              </w:rPr>
              <w:t>)</w:t>
            </w:r>
          </w:p>
        </w:tc>
      </w:tr>
    </w:tbl>
    <w:p w:rsidR="005129E0" w:rsidRPr="009B71B8" w:rsidRDefault="00D3445B" w:rsidP="005129E0">
      <w:pPr>
        <w:spacing w:line="360" w:lineRule="auto"/>
        <w:jc w:val="both"/>
        <w:rPr>
          <w:lang w:val="id-ID"/>
        </w:rPr>
      </w:pPr>
      <w:r w:rsidRPr="009B71B8">
        <w:rPr>
          <w:lang w:val="id-ID"/>
        </w:rPr>
        <w:t xml:space="preserve">Standar deviasi setiap </w:t>
      </w:r>
      <w:r w:rsidR="00E47D42" w:rsidRPr="009B71B8">
        <w:rPr>
          <w:lang w:val="id-ID"/>
        </w:rPr>
        <w:t xml:space="preserve">WS pada setiap </w:t>
      </w:r>
      <w:r w:rsidRPr="009B71B8">
        <w:rPr>
          <w:lang w:val="id-ID"/>
        </w:rPr>
        <w:t xml:space="preserve">grid </w:t>
      </w:r>
      <w:r w:rsidR="005129E0" w:rsidRPr="009B71B8">
        <w:rPr>
          <w:lang w:val="id-ID"/>
        </w:rPr>
        <w:t xml:space="preserve">( </w:t>
      </w:r>
      <m:oMath>
        <m:sSub>
          <m:sSubPr>
            <m:ctrlPr>
              <w:rPr>
                <w:rFonts w:ascii="Cambria Math" w:eastAsia="MS Mincho" w:hAnsi="Cambria Math"/>
                <w:i/>
                <w:lang w:val="id-ID"/>
              </w:rPr>
            </m:ctrlPr>
          </m:sSubPr>
          <m:e>
            <m:r>
              <m:rPr>
                <m:nor/>
              </m:rPr>
              <w:rPr>
                <w:rFonts w:ascii="Cambria Math" w:eastAsia="MS Mincho" w:hAnsi="Cambria Math"/>
                <w:lang w:val="id-ID"/>
              </w:rPr>
              <m:t>σ</m:t>
            </m:r>
          </m:e>
          <m:sub>
            <m:r>
              <m:rPr>
                <m:nor/>
              </m:rPr>
              <w:rPr>
                <w:rFonts w:ascii="Cambria Math" w:eastAsia="MS Mincho" w:hAnsi="Cambria Math"/>
                <w:lang w:val="id-ID"/>
              </w:rPr>
              <m:t>grid</m:t>
            </m:r>
          </m:sub>
        </m:sSub>
      </m:oMath>
      <w:r w:rsidR="005129E0" w:rsidRPr="009B71B8">
        <w:rPr>
          <w:lang w:val="id-ID"/>
        </w:rPr>
        <w:t xml:space="preserve">) </w:t>
      </w:r>
      <w:r w:rsidR="005C5664" w:rsidRPr="009B71B8">
        <w:rPr>
          <w:lang w:val="id-ID"/>
        </w:rPr>
        <w:t>menggunakan persamaan (4).</w:t>
      </w:r>
    </w:p>
    <w:tbl>
      <w:tblPr>
        <w:tblW w:w="5000" w:type="pct"/>
        <w:tblLook w:val="04A0"/>
      </w:tblPr>
      <w:tblGrid>
        <w:gridCol w:w="1308"/>
        <w:gridCol w:w="6105"/>
        <w:gridCol w:w="1308"/>
      </w:tblGrid>
      <w:tr w:rsidR="005129E0" w:rsidRPr="009B71B8" w:rsidTr="005129E0">
        <w:trPr>
          <w:cantSplit/>
          <w:trHeight w:val="153"/>
        </w:trPr>
        <w:tc>
          <w:tcPr>
            <w:tcW w:w="750" w:type="pct"/>
            <w:vAlign w:val="center"/>
          </w:tcPr>
          <w:p w:rsidR="005129E0" w:rsidRPr="009B71B8" w:rsidRDefault="005129E0" w:rsidP="005129E0">
            <w:pPr>
              <w:spacing w:line="480" w:lineRule="auto"/>
              <w:jc w:val="center"/>
              <w:rPr>
                <w:lang w:val="id-ID"/>
              </w:rPr>
            </w:pPr>
            <w:r w:rsidRPr="009B71B8">
              <w:rPr>
                <w:lang w:val="id-ID"/>
              </w:rPr>
              <w:lastRenderedPageBreak/>
              <w:t xml:space="preserve">  </w:t>
            </w:r>
          </w:p>
        </w:tc>
        <w:tc>
          <w:tcPr>
            <w:tcW w:w="3500" w:type="pct"/>
            <w:vAlign w:val="center"/>
          </w:tcPr>
          <w:p w:rsidR="005129E0" w:rsidRPr="009B71B8" w:rsidRDefault="008645E2" w:rsidP="00A85708">
            <w:pPr>
              <w:spacing w:line="480" w:lineRule="auto"/>
              <w:jc w:val="center"/>
              <w:rPr>
                <w:rFonts w:eastAsia="MS Mincho"/>
                <w:lang w:val="id-ID"/>
              </w:rPr>
            </w:pPr>
            <m:oMathPara>
              <m:oMathParaPr>
                <m:jc m:val="center"/>
              </m:oMathParaPr>
              <m:oMath>
                <m:sSubSup>
                  <m:sSubSupPr>
                    <m:ctrlPr>
                      <w:rPr>
                        <w:rFonts w:ascii="Cambria Math" w:eastAsia="MS Mincho" w:hAnsi="Cambria Math"/>
                        <w:i/>
                        <w:lang w:val="id-ID"/>
                      </w:rPr>
                    </m:ctrlPr>
                  </m:sSubSupPr>
                  <m:e>
                    <m:r>
                      <m:rPr>
                        <m:nor/>
                      </m:rPr>
                      <w:rPr>
                        <w:rFonts w:eastAsia="MS Mincho"/>
                        <w:lang w:val="id-ID"/>
                      </w:rPr>
                      <m:t>σ</m:t>
                    </m:r>
                  </m:e>
                  <m:sub>
                    <m:r>
                      <m:rPr>
                        <m:nor/>
                      </m:rPr>
                      <w:rPr>
                        <w:rFonts w:eastAsia="MS Mincho"/>
                        <w:lang w:val="id-ID"/>
                      </w:rPr>
                      <m:t>grid</m:t>
                    </m:r>
                  </m:sub>
                  <m:sup>
                    <m:r>
                      <m:rPr>
                        <m:nor/>
                      </m:rPr>
                      <w:rPr>
                        <w:rFonts w:eastAsia="MS Mincho"/>
                        <w:lang w:val="id-ID"/>
                      </w:rPr>
                      <m:t>2</m:t>
                    </m:r>
                  </m:sup>
                </m:sSubSup>
                <m:r>
                  <m:rPr>
                    <m:nor/>
                  </m:rPr>
                  <w:rPr>
                    <w:rFonts w:eastAsia="MS Mincho"/>
                    <w:lang w:val="id-ID"/>
                  </w:rPr>
                  <m:t>=</m:t>
                </m:r>
                <m:f>
                  <m:fPr>
                    <m:ctrlPr>
                      <w:rPr>
                        <w:rFonts w:ascii="Cambria Math" w:eastAsia="MS Mincho" w:hAnsi="Cambria Math"/>
                        <w:i/>
                        <w:lang w:val="id-ID"/>
                      </w:rPr>
                    </m:ctrlPr>
                  </m:fPr>
                  <m:num>
                    <m:r>
                      <m:rPr>
                        <m:nor/>
                      </m:rPr>
                      <w:rPr>
                        <w:rFonts w:eastAsia="MS Mincho"/>
                        <w:lang w:val="id-ID"/>
                      </w:rPr>
                      <m:t>1</m:t>
                    </m:r>
                  </m:num>
                  <m:den>
                    <m:r>
                      <m:rPr>
                        <m:nor/>
                      </m:rPr>
                      <w:rPr>
                        <w:rFonts w:eastAsia="MS Mincho"/>
                        <w:lang w:val="id-ID"/>
                      </w:rPr>
                      <m:t>M-1</m:t>
                    </m:r>
                  </m:den>
                </m:f>
                <m:nary>
                  <m:naryPr>
                    <m:chr m:val="∑"/>
                    <m:limLoc m:val="undOvr"/>
                    <m:ctrlPr>
                      <w:rPr>
                        <w:rFonts w:ascii="Cambria Math" w:eastAsia="MS Mincho" w:hAnsi="Cambria Math"/>
                        <w:i/>
                        <w:lang w:val="id-ID"/>
                      </w:rPr>
                    </m:ctrlPr>
                  </m:naryPr>
                  <m:sub>
                    <m:r>
                      <m:rPr>
                        <m:nor/>
                      </m:rPr>
                      <w:rPr>
                        <w:rFonts w:eastAsia="MS Mincho"/>
                        <w:lang w:val="id-ID"/>
                      </w:rPr>
                      <m:t>i=1</m:t>
                    </m:r>
                  </m:sub>
                  <m:sup>
                    <m:r>
                      <m:rPr>
                        <m:nor/>
                      </m:rPr>
                      <w:rPr>
                        <w:rFonts w:eastAsia="MS Mincho"/>
                        <w:lang w:val="id-ID"/>
                      </w:rPr>
                      <m:t>M</m:t>
                    </m:r>
                  </m:sup>
                  <m:e>
                    <m:sSup>
                      <m:sSupPr>
                        <m:ctrlPr>
                          <w:rPr>
                            <w:rFonts w:ascii="Cambria Math" w:eastAsia="MS Mincho" w:hAnsi="Cambria Math"/>
                            <w:i/>
                            <w:lang w:val="id-ID"/>
                          </w:rPr>
                        </m:ctrlPr>
                      </m:sSupPr>
                      <m:e>
                        <m:sSub>
                          <m:sSubPr>
                            <m:ctrlPr>
                              <w:rPr>
                                <w:rFonts w:ascii="Cambria Math" w:eastAsia="MS Mincho" w:hAnsi="Cambria Math"/>
                                <w:i/>
                                <w:lang w:val="id-ID"/>
                              </w:rPr>
                            </m:ctrlPr>
                          </m:sSubPr>
                          <m:e>
                            <m:r>
                              <m:rPr>
                                <m:nor/>
                              </m:rPr>
                              <w:rPr>
                                <w:rFonts w:eastAsia="MS Mincho"/>
                                <w:lang w:val="id-ID"/>
                              </w:rPr>
                              <m:t>(WS</m:t>
                            </m:r>
                          </m:e>
                          <m:sub>
                            <m:r>
                              <m:rPr>
                                <m:nor/>
                              </m:rPr>
                              <w:rPr>
                                <w:rFonts w:eastAsia="MS Mincho"/>
                                <w:lang w:val="id-ID"/>
                              </w:rPr>
                              <m:t>i</m:t>
                            </m:r>
                          </m:sub>
                        </m:sSub>
                        <m:r>
                          <m:rPr>
                            <m:nor/>
                          </m:rPr>
                          <w:rPr>
                            <w:rFonts w:eastAsia="MS Mincho"/>
                            <w:lang w:val="id-ID"/>
                          </w:rPr>
                          <m:t>-</m:t>
                        </m:r>
                        <m:sSub>
                          <m:sSubPr>
                            <m:ctrlPr>
                              <w:rPr>
                                <w:rFonts w:ascii="Cambria Math" w:eastAsia="MS Mincho" w:hAnsi="Cambria Math"/>
                                <w:i/>
                                <w:lang w:val="id-ID"/>
                              </w:rPr>
                            </m:ctrlPr>
                          </m:sSubPr>
                          <m:e>
                            <m:acc>
                              <m:accPr>
                                <m:chr m:val="̅"/>
                                <m:ctrlPr>
                                  <w:rPr>
                                    <w:rFonts w:ascii="Cambria Math" w:eastAsia="MS Mincho" w:hAnsi="Cambria Math"/>
                                    <w:i/>
                                    <w:lang w:val="id-ID"/>
                                  </w:rPr>
                                </m:ctrlPr>
                              </m:accPr>
                              <m:e>
                                <m:r>
                                  <m:rPr>
                                    <m:nor/>
                                  </m:rPr>
                                  <w:rPr>
                                    <w:rFonts w:eastAsia="MS Mincho"/>
                                    <w:lang w:val="id-ID"/>
                                  </w:rPr>
                                  <m:t>WS</m:t>
                                </m:r>
                              </m:e>
                            </m:acc>
                          </m:e>
                          <m:sub>
                            <m:r>
                              <m:rPr>
                                <m:nor/>
                              </m:rPr>
                              <w:rPr>
                                <w:rFonts w:eastAsia="MS Mincho"/>
                                <w:lang w:val="id-ID"/>
                              </w:rPr>
                              <m:t>grid</m:t>
                            </m:r>
                          </m:sub>
                        </m:sSub>
                        <m:r>
                          <m:rPr>
                            <m:nor/>
                          </m:rPr>
                          <w:rPr>
                            <w:rFonts w:eastAsia="MS Mincho"/>
                            <w:lang w:val="id-ID"/>
                          </w:rPr>
                          <m:t>)</m:t>
                        </m:r>
                      </m:e>
                      <m:sup>
                        <m:r>
                          <m:rPr>
                            <m:nor/>
                          </m:rPr>
                          <w:rPr>
                            <w:rFonts w:eastAsia="MS Mincho"/>
                            <w:lang w:val="id-ID"/>
                          </w:rPr>
                          <m:t>2</m:t>
                        </m:r>
                      </m:sup>
                    </m:sSup>
                  </m:e>
                </m:nary>
                <m:r>
                  <m:rPr>
                    <m:sty m:val="p"/>
                  </m:rPr>
                  <w:rPr>
                    <w:rFonts w:eastAsia="MS Mincho"/>
                    <w:lang w:val="id-ID"/>
                  </w:rPr>
                  <w:br/>
                </m:r>
              </m:oMath>
              <m:oMath>
                <m:sSub>
                  <m:sSubPr>
                    <m:ctrlPr>
                      <w:rPr>
                        <w:rFonts w:ascii="Cambria Math" w:eastAsia="MS Mincho" w:hAnsi="Cambria Math"/>
                        <w:i/>
                        <w:lang w:val="id-ID"/>
                      </w:rPr>
                    </m:ctrlPr>
                  </m:sSubPr>
                  <m:e>
                    <m:r>
                      <m:rPr>
                        <m:nor/>
                      </m:rPr>
                      <w:rPr>
                        <w:rFonts w:eastAsia="MS Mincho"/>
                        <w:lang w:val="id-ID"/>
                      </w:rPr>
                      <m:t>σ</m:t>
                    </m:r>
                  </m:e>
                  <m:sub>
                    <m:r>
                      <m:rPr>
                        <m:nor/>
                      </m:rPr>
                      <w:rPr>
                        <w:rFonts w:eastAsia="MS Mincho"/>
                        <w:lang w:val="id-ID"/>
                      </w:rPr>
                      <m:t>grid</m:t>
                    </m:r>
                  </m:sub>
                </m:sSub>
                <m:r>
                  <m:rPr>
                    <m:nor/>
                  </m:rPr>
                  <w:rPr>
                    <w:rFonts w:eastAsia="MS Mincho"/>
                    <w:lang w:val="id-ID"/>
                  </w:rPr>
                  <m:t>=</m:t>
                </m:r>
                <m:rad>
                  <m:radPr>
                    <m:degHide m:val="on"/>
                    <m:ctrlPr>
                      <w:rPr>
                        <w:rFonts w:ascii="Cambria Math" w:eastAsia="MS Mincho" w:hAnsi="Cambria Math"/>
                        <w:i/>
                        <w:lang w:val="id-ID"/>
                      </w:rPr>
                    </m:ctrlPr>
                  </m:radPr>
                  <m:deg/>
                  <m:e>
                    <m:sSubSup>
                      <m:sSubSupPr>
                        <m:ctrlPr>
                          <w:rPr>
                            <w:rFonts w:ascii="Cambria Math" w:eastAsia="MS Mincho" w:hAnsi="Cambria Math"/>
                            <w:i/>
                            <w:lang w:val="id-ID"/>
                          </w:rPr>
                        </m:ctrlPr>
                      </m:sSubSupPr>
                      <m:e>
                        <m:r>
                          <m:rPr>
                            <m:nor/>
                          </m:rPr>
                          <w:rPr>
                            <w:rFonts w:eastAsia="MS Mincho"/>
                            <w:lang w:val="id-ID"/>
                          </w:rPr>
                          <m:t>σ</m:t>
                        </m:r>
                      </m:e>
                      <m:sub>
                        <m:r>
                          <m:rPr>
                            <m:nor/>
                          </m:rPr>
                          <w:rPr>
                            <w:rFonts w:eastAsia="MS Mincho"/>
                            <w:lang w:val="id-ID"/>
                          </w:rPr>
                          <m:t>grid</m:t>
                        </m:r>
                      </m:sub>
                      <m:sup>
                        <m:r>
                          <m:rPr>
                            <m:nor/>
                          </m:rPr>
                          <w:rPr>
                            <w:rFonts w:eastAsia="MS Mincho"/>
                            <w:lang w:val="id-ID"/>
                          </w:rPr>
                          <m:t>2</m:t>
                        </m:r>
                      </m:sup>
                    </m:sSubSup>
                  </m:e>
                </m:rad>
              </m:oMath>
            </m:oMathPara>
          </w:p>
        </w:tc>
        <w:tc>
          <w:tcPr>
            <w:tcW w:w="750" w:type="pct"/>
            <w:vAlign w:val="center"/>
          </w:tcPr>
          <w:p w:rsidR="005129E0" w:rsidRPr="009B71B8" w:rsidRDefault="005C5664" w:rsidP="005C5664">
            <w:pPr>
              <w:autoSpaceDE w:val="0"/>
              <w:autoSpaceDN w:val="0"/>
              <w:adjustRightInd w:val="0"/>
              <w:spacing w:line="480" w:lineRule="auto"/>
              <w:jc w:val="center"/>
              <w:rPr>
                <w:lang w:val="id-ID"/>
              </w:rPr>
            </w:pPr>
            <w:r w:rsidRPr="009B71B8">
              <w:rPr>
                <w:lang w:val="id-ID"/>
              </w:rPr>
              <w:t>(4</w:t>
            </w:r>
            <w:r w:rsidR="005129E0" w:rsidRPr="009B71B8">
              <w:rPr>
                <w:lang w:val="id-ID"/>
              </w:rPr>
              <w:t>)</w:t>
            </w:r>
          </w:p>
        </w:tc>
      </w:tr>
    </w:tbl>
    <w:p w:rsidR="00315C0F" w:rsidRPr="009B71B8" w:rsidRDefault="00315C0F" w:rsidP="001A6A77">
      <w:pPr>
        <w:spacing w:line="360" w:lineRule="auto"/>
        <w:ind w:firstLine="360"/>
        <w:jc w:val="both"/>
        <w:rPr>
          <w:lang w:val="id-ID"/>
        </w:rPr>
      </w:pPr>
      <w:r w:rsidRPr="009B71B8">
        <w:rPr>
          <w:lang w:val="id-ID"/>
        </w:rPr>
        <w:t>Energi kinetik angin yang memotong bilah turbin per unit time (P) tergantung pada densitas udara (</w:t>
      </w:r>
      <w:r w:rsidR="00651FC6" w:rsidRPr="009B71B8">
        <w:rPr>
          <w:lang w:val="id-ID"/>
        </w:rPr>
        <w:t>ρ</w:t>
      </w:r>
      <w:r w:rsidRPr="009B71B8">
        <w:rPr>
          <w:lang w:val="id-ID"/>
        </w:rPr>
        <w:t xml:space="preserve">). Area </w:t>
      </w:r>
      <w:r w:rsidR="00651FC6" w:rsidRPr="009B71B8">
        <w:rPr>
          <w:lang w:val="id-ID"/>
        </w:rPr>
        <w:t>yg tersapu oleh bilah rotor (π</w:t>
      </w:r>
      <w:r w:rsidRPr="009B71B8">
        <w:rPr>
          <w:lang w:val="id-ID"/>
        </w:rPr>
        <w:t>r</w:t>
      </w:r>
      <w:r w:rsidRPr="009B71B8">
        <w:rPr>
          <w:vertAlign w:val="superscript"/>
          <w:lang w:val="id-ID"/>
        </w:rPr>
        <w:t>2</w:t>
      </w:r>
      <w:r w:rsidRPr="009B71B8">
        <w:rPr>
          <w:lang w:val="id-ID"/>
        </w:rPr>
        <w:t>) dan volume WS (</w:t>
      </w:r>
      <w:r w:rsidR="00651FC6" w:rsidRPr="009B71B8">
        <w:rPr>
          <w:lang w:val="id-ID"/>
        </w:rPr>
        <w:t>V</w:t>
      </w:r>
      <w:r w:rsidRPr="009B71B8">
        <w:rPr>
          <w:vertAlign w:val="superscript"/>
          <w:lang w:val="id-ID"/>
        </w:rPr>
        <w:t>3</w:t>
      </w:r>
      <w:r w:rsidRPr="009B71B8">
        <w:rPr>
          <w:lang w:val="id-ID"/>
        </w:rPr>
        <w:t>) tereduksi oleh efisiensi energi faktor (f</w:t>
      </w:r>
      <w:r w:rsidRPr="009B71B8">
        <w:rPr>
          <w:vertAlign w:val="subscript"/>
          <w:lang w:val="id-ID"/>
        </w:rPr>
        <w:t>p</w:t>
      </w:r>
      <w:r w:rsidRPr="009B71B8">
        <w:rPr>
          <w:lang w:val="id-ID"/>
        </w:rPr>
        <w:t xml:space="preserve">) dihitung dengan </w:t>
      </w:r>
      <w:r w:rsidR="002359F9" w:rsidRPr="009B71B8">
        <w:rPr>
          <w:lang w:val="id-ID"/>
        </w:rPr>
        <w:t>persamaam (5)</w:t>
      </w:r>
      <w:r w:rsidR="001A6A77">
        <w:rPr>
          <w:lang w:val="id-ID"/>
        </w:rPr>
        <w:t xml:space="preserve"> (Lu, </w:t>
      </w:r>
      <w:r w:rsidR="001A6A77" w:rsidRPr="001A6A77">
        <w:rPr>
          <w:lang w:val="id-ID"/>
        </w:rPr>
        <w:t>McElroy</w:t>
      </w:r>
      <w:r w:rsidR="001A6A77">
        <w:rPr>
          <w:lang w:val="id-ID"/>
        </w:rPr>
        <w:t xml:space="preserve"> dan </w:t>
      </w:r>
      <w:r w:rsidR="001A6A77" w:rsidRPr="001A6A77">
        <w:rPr>
          <w:lang w:val="id-ID"/>
        </w:rPr>
        <w:t>Kiviluoma</w:t>
      </w:r>
      <w:r w:rsidR="003D7515" w:rsidRPr="009B71B8">
        <w:rPr>
          <w:lang w:val="id-ID"/>
        </w:rPr>
        <w:t>, 2009)</w:t>
      </w:r>
      <w:r w:rsidRPr="009B71B8">
        <w:rPr>
          <w:lang w:val="id-ID"/>
        </w:rPr>
        <w:t>:</w:t>
      </w:r>
    </w:p>
    <w:tbl>
      <w:tblPr>
        <w:tblW w:w="5000" w:type="pct"/>
        <w:tblLook w:val="04A0"/>
      </w:tblPr>
      <w:tblGrid>
        <w:gridCol w:w="1308"/>
        <w:gridCol w:w="6105"/>
        <w:gridCol w:w="1308"/>
      </w:tblGrid>
      <w:tr w:rsidR="00315C0F" w:rsidRPr="009B71B8" w:rsidTr="004E378B">
        <w:trPr>
          <w:cantSplit/>
          <w:trHeight w:val="153"/>
        </w:trPr>
        <w:tc>
          <w:tcPr>
            <w:tcW w:w="750" w:type="pct"/>
            <w:vAlign w:val="center"/>
          </w:tcPr>
          <w:p w:rsidR="00315C0F" w:rsidRPr="009B71B8" w:rsidRDefault="00315C0F" w:rsidP="004E378B">
            <w:pPr>
              <w:spacing w:line="480" w:lineRule="auto"/>
              <w:jc w:val="center"/>
              <w:rPr>
                <w:lang w:val="id-ID"/>
              </w:rPr>
            </w:pPr>
          </w:p>
        </w:tc>
        <w:tc>
          <w:tcPr>
            <w:tcW w:w="3500" w:type="pct"/>
            <w:vAlign w:val="center"/>
          </w:tcPr>
          <w:p w:rsidR="00315C0F" w:rsidRPr="009B71B8" w:rsidRDefault="00651FC6" w:rsidP="00315C0F">
            <w:pPr>
              <w:spacing w:line="480" w:lineRule="auto"/>
              <w:jc w:val="center"/>
              <w:rPr>
                <w:rFonts w:eastAsia="MS Mincho"/>
                <w:lang w:val="id-ID"/>
              </w:rPr>
            </w:pPr>
            <m:oMathPara>
              <m:oMath>
                <m:r>
                  <m:rPr>
                    <m:nor/>
                  </m:rPr>
                  <w:rPr>
                    <w:rFonts w:eastAsia="MS Mincho"/>
                    <w:lang w:val="id-ID"/>
                  </w:rPr>
                  <m:t>P=</m:t>
                </m:r>
                <m:f>
                  <m:fPr>
                    <m:ctrlPr>
                      <w:rPr>
                        <w:rFonts w:ascii="Cambria Math" w:eastAsia="MS Mincho" w:hAnsi="Cambria Math"/>
                        <w:i/>
                        <w:lang w:val="id-ID"/>
                      </w:rPr>
                    </m:ctrlPr>
                  </m:fPr>
                  <m:num>
                    <m:r>
                      <m:rPr>
                        <m:nor/>
                      </m:rPr>
                      <w:rPr>
                        <w:rFonts w:eastAsia="MS Mincho"/>
                        <w:lang w:val="id-ID"/>
                      </w:rPr>
                      <m:t>1</m:t>
                    </m:r>
                  </m:num>
                  <m:den>
                    <m:r>
                      <m:rPr>
                        <m:nor/>
                      </m:rPr>
                      <w:rPr>
                        <w:rFonts w:eastAsia="MS Mincho"/>
                        <w:lang w:val="id-ID"/>
                      </w:rPr>
                      <m:t>2</m:t>
                    </m:r>
                  </m:den>
                </m:f>
                <m:r>
                  <m:rPr>
                    <m:nor/>
                  </m:rPr>
                  <w:rPr>
                    <w:rFonts w:eastAsia="MS Mincho"/>
                    <w:lang w:val="id-ID"/>
                  </w:rPr>
                  <m:t>ρπ</m:t>
                </m:r>
                <m:sSup>
                  <m:sSupPr>
                    <m:ctrlPr>
                      <w:rPr>
                        <w:rFonts w:ascii="Cambria Math" w:eastAsia="MS Mincho" w:hAnsi="Cambria Math"/>
                        <w:i/>
                        <w:lang w:val="id-ID"/>
                      </w:rPr>
                    </m:ctrlPr>
                  </m:sSupPr>
                  <m:e>
                    <m:r>
                      <m:rPr>
                        <m:nor/>
                      </m:rPr>
                      <w:rPr>
                        <w:rFonts w:eastAsia="MS Mincho"/>
                        <w:lang w:val="id-ID"/>
                      </w:rPr>
                      <m:t>r</m:t>
                    </m:r>
                  </m:e>
                  <m:sup>
                    <m:r>
                      <m:rPr>
                        <m:nor/>
                      </m:rPr>
                      <w:rPr>
                        <w:rFonts w:eastAsia="MS Mincho"/>
                        <w:lang w:val="id-ID"/>
                      </w:rPr>
                      <m:t>2</m:t>
                    </m:r>
                  </m:sup>
                </m:sSup>
                <m:sSub>
                  <m:sSubPr>
                    <m:ctrlPr>
                      <w:rPr>
                        <w:rFonts w:ascii="Cambria Math" w:eastAsia="MS Mincho" w:hAnsi="Cambria Math"/>
                        <w:i/>
                        <w:lang w:val="id-ID"/>
                      </w:rPr>
                    </m:ctrlPr>
                  </m:sSubPr>
                  <m:e>
                    <m:r>
                      <m:rPr>
                        <m:nor/>
                      </m:rPr>
                      <w:rPr>
                        <w:rFonts w:eastAsia="MS Mincho"/>
                        <w:lang w:val="id-ID"/>
                      </w:rPr>
                      <m:t>f</m:t>
                    </m:r>
                  </m:e>
                  <m:sub>
                    <m:r>
                      <m:rPr>
                        <m:nor/>
                      </m:rPr>
                      <w:rPr>
                        <w:rFonts w:eastAsia="MS Mincho"/>
                        <w:lang w:val="id-ID"/>
                      </w:rPr>
                      <m:t>p</m:t>
                    </m:r>
                  </m:sub>
                </m:sSub>
                <m:sSup>
                  <m:sSupPr>
                    <m:ctrlPr>
                      <w:rPr>
                        <w:rFonts w:ascii="Cambria Math" w:eastAsia="MS Mincho" w:hAnsi="Cambria Math"/>
                        <w:i/>
                        <w:lang w:val="id-ID"/>
                      </w:rPr>
                    </m:ctrlPr>
                  </m:sSupPr>
                  <m:e>
                    <m:r>
                      <m:rPr>
                        <m:nor/>
                      </m:rPr>
                      <w:rPr>
                        <w:rFonts w:eastAsia="MS Mincho"/>
                        <w:lang w:val="id-ID"/>
                      </w:rPr>
                      <m:t>v</m:t>
                    </m:r>
                  </m:e>
                  <m:sup>
                    <m:r>
                      <m:rPr>
                        <m:nor/>
                      </m:rPr>
                      <w:rPr>
                        <w:rFonts w:eastAsia="MS Mincho"/>
                        <w:lang w:val="id-ID"/>
                      </w:rPr>
                      <m:t>3</m:t>
                    </m:r>
                  </m:sup>
                </m:sSup>
              </m:oMath>
            </m:oMathPara>
          </w:p>
        </w:tc>
        <w:tc>
          <w:tcPr>
            <w:tcW w:w="750" w:type="pct"/>
            <w:vAlign w:val="center"/>
          </w:tcPr>
          <w:p w:rsidR="00315C0F" w:rsidRPr="009B71B8" w:rsidRDefault="002359F9" w:rsidP="004E378B">
            <w:pPr>
              <w:autoSpaceDE w:val="0"/>
              <w:autoSpaceDN w:val="0"/>
              <w:adjustRightInd w:val="0"/>
              <w:spacing w:line="480" w:lineRule="auto"/>
              <w:jc w:val="center"/>
              <w:rPr>
                <w:lang w:val="id-ID"/>
              </w:rPr>
            </w:pPr>
            <w:r w:rsidRPr="009B71B8">
              <w:rPr>
                <w:lang w:val="id-ID"/>
              </w:rPr>
              <w:t>(5</w:t>
            </w:r>
            <w:r w:rsidR="00315C0F" w:rsidRPr="009B71B8">
              <w:rPr>
                <w:lang w:val="id-ID"/>
              </w:rPr>
              <w:t>)</w:t>
            </w:r>
          </w:p>
        </w:tc>
      </w:tr>
    </w:tbl>
    <w:p w:rsidR="001D6BAC" w:rsidRPr="009B71B8" w:rsidRDefault="00AD0FAA" w:rsidP="001D6BAC">
      <w:pPr>
        <w:spacing w:line="360" w:lineRule="auto"/>
        <w:jc w:val="both"/>
        <w:rPr>
          <w:lang w:val="id-ID"/>
        </w:rPr>
      </w:pPr>
      <w:r w:rsidRPr="009B71B8">
        <w:rPr>
          <w:lang w:val="id-ID"/>
        </w:rPr>
        <w:t xml:space="preserve">Konversi energi bervariasi tergantung volume WS, dari rendah, moderat dan tinggi dan terdapat mekanisme mencegah kerusakan akibat WS yang berlebih. </w:t>
      </w:r>
      <w:r w:rsidR="00190F9F" w:rsidRPr="009B71B8">
        <w:rPr>
          <w:lang w:val="id-ID"/>
        </w:rPr>
        <w:t xml:space="preserve">Efisiensi </w:t>
      </w:r>
      <w:r w:rsidR="00A31777" w:rsidRPr="009B71B8">
        <w:rPr>
          <w:lang w:val="id-ID"/>
        </w:rPr>
        <w:t>energi kinetik yang memotong bilah turbin pada WS yang diberikan dikonv</w:t>
      </w:r>
      <w:r w:rsidR="00190F9F" w:rsidRPr="009B71B8">
        <w:rPr>
          <w:lang w:val="id-ID"/>
        </w:rPr>
        <w:t xml:space="preserve">esi menjadi listrik </w:t>
      </w:r>
      <w:r w:rsidR="00A31777" w:rsidRPr="009B71B8">
        <w:rPr>
          <w:lang w:val="id-ID"/>
        </w:rPr>
        <w:t>tergantung pada detail spesifikasi desai</w:t>
      </w:r>
      <w:r w:rsidR="00190F9F" w:rsidRPr="009B71B8">
        <w:rPr>
          <w:lang w:val="id-ID"/>
        </w:rPr>
        <w:t xml:space="preserve">n </w:t>
      </w:r>
      <w:r w:rsidR="00A31777" w:rsidRPr="009B71B8">
        <w:rPr>
          <w:lang w:val="id-ID"/>
        </w:rPr>
        <w:t xml:space="preserve">turbin yang mana direpresentasikan kedalam </w:t>
      </w:r>
      <w:r w:rsidRPr="009B71B8">
        <w:rPr>
          <w:lang w:val="id-ID"/>
        </w:rPr>
        <w:t xml:space="preserve">model </w:t>
      </w:r>
      <w:r w:rsidR="00A31777" w:rsidRPr="009B71B8">
        <w:rPr>
          <w:lang w:val="id-ID"/>
        </w:rPr>
        <w:t>kurva-daya turbin</w:t>
      </w:r>
      <w:r w:rsidRPr="009B71B8">
        <w:rPr>
          <w:lang w:val="id-ID"/>
        </w:rPr>
        <w:t xml:space="preserve"> yang dipilih</w:t>
      </w:r>
      <w:r w:rsidR="00A31777" w:rsidRPr="009B71B8">
        <w:rPr>
          <w:lang w:val="id-ID"/>
        </w:rPr>
        <w:t>.</w:t>
      </w:r>
      <w:r w:rsidR="004232F4" w:rsidRPr="009B71B8">
        <w:rPr>
          <w:lang w:val="id-ID"/>
        </w:rPr>
        <w:t xml:space="preserve"> Biasanya kurva-daya </w:t>
      </w:r>
      <w:r w:rsidR="00727C5D" w:rsidRPr="009B71B8">
        <w:rPr>
          <w:lang w:val="id-ID"/>
        </w:rPr>
        <w:t xml:space="preserve">dihitung dengan asumsi </w:t>
      </w:r>
      <w:r w:rsidR="004232F4" w:rsidRPr="009B71B8">
        <w:rPr>
          <w:lang w:val="id-ID"/>
        </w:rPr>
        <w:t>densitas udara sebesar 1.225 kg/m</w:t>
      </w:r>
      <w:r w:rsidR="004232F4" w:rsidRPr="009B71B8">
        <w:rPr>
          <w:vertAlign w:val="superscript"/>
          <w:lang w:val="id-ID"/>
        </w:rPr>
        <w:t>3</w:t>
      </w:r>
      <w:r w:rsidR="004232F4" w:rsidRPr="009B71B8">
        <w:rPr>
          <w:lang w:val="id-ID"/>
        </w:rPr>
        <w:t>, temperatur 15</w:t>
      </w:r>
      <w:r w:rsidR="004232F4" w:rsidRPr="009B71B8">
        <w:rPr>
          <w:vertAlign w:val="superscript"/>
          <w:lang w:val="id-ID"/>
        </w:rPr>
        <w:t>o</w:t>
      </w:r>
      <w:r w:rsidR="004232F4" w:rsidRPr="009B71B8">
        <w:rPr>
          <w:lang w:val="id-ID"/>
        </w:rPr>
        <w:t>C pada tekanan 1 atmosfir.</w:t>
      </w:r>
      <w:r w:rsidR="00727C5D" w:rsidRPr="009B71B8">
        <w:rPr>
          <w:lang w:val="id-ID"/>
        </w:rPr>
        <w:t xml:space="preserve"> Koreksi volume WS dapat dilakukan jika terdapat perbedaan kondisi</w:t>
      </w:r>
      <w:r w:rsidR="002359F9" w:rsidRPr="009B71B8">
        <w:rPr>
          <w:lang w:val="id-ID"/>
        </w:rPr>
        <w:t xml:space="preserve"> diatas dengan persamaan (6).</w:t>
      </w:r>
      <w:r w:rsidR="001D6BAC" w:rsidRPr="009B71B8">
        <w:rPr>
          <w:lang w:val="id-ID"/>
        </w:rPr>
        <w:t xml:space="preserve"> Dimana P tekanan udara, T temperatur dan R atmospherik gas konstan (287.05 N.m/(kg.K).</w:t>
      </w:r>
    </w:p>
    <w:tbl>
      <w:tblPr>
        <w:tblW w:w="5000" w:type="pct"/>
        <w:tblLook w:val="04A0"/>
      </w:tblPr>
      <w:tblGrid>
        <w:gridCol w:w="1308"/>
        <w:gridCol w:w="6105"/>
        <w:gridCol w:w="1308"/>
      </w:tblGrid>
      <w:tr w:rsidR="002359F9" w:rsidRPr="009B71B8" w:rsidTr="004E378B">
        <w:trPr>
          <w:cantSplit/>
          <w:trHeight w:val="153"/>
        </w:trPr>
        <w:tc>
          <w:tcPr>
            <w:tcW w:w="750" w:type="pct"/>
            <w:vAlign w:val="center"/>
          </w:tcPr>
          <w:p w:rsidR="002359F9" w:rsidRPr="009B71B8" w:rsidRDefault="002359F9" w:rsidP="004E378B">
            <w:pPr>
              <w:spacing w:line="480" w:lineRule="auto"/>
              <w:jc w:val="center"/>
              <w:rPr>
                <w:lang w:val="id-ID"/>
              </w:rPr>
            </w:pPr>
          </w:p>
        </w:tc>
        <w:tc>
          <w:tcPr>
            <w:tcW w:w="3500" w:type="pct"/>
            <w:vAlign w:val="center"/>
          </w:tcPr>
          <w:p w:rsidR="002359F9" w:rsidRPr="009B71B8" w:rsidRDefault="008645E2" w:rsidP="002359F9">
            <w:pPr>
              <w:spacing w:line="480" w:lineRule="auto"/>
              <w:jc w:val="center"/>
              <w:rPr>
                <w:rFonts w:eastAsia="MS Mincho"/>
                <w:lang w:val="id-ID"/>
              </w:rPr>
            </w:pPr>
            <m:oMathPara>
              <m:oMath>
                <m:sSub>
                  <m:sSubPr>
                    <m:ctrlPr>
                      <w:rPr>
                        <w:rFonts w:ascii="Cambria Math" w:eastAsia="MS Mincho" w:hAnsi="Cambria Math"/>
                        <w:lang w:val="id-ID"/>
                      </w:rPr>
                    </m:ctrlPr>
                  </m:sSubPr>
                  <m:e>
                    <m:r>
                      <m:rPr>
                        <m:nor/>
                      </m:rPr>
                      <w:rPr>
                        <w:rFonts w:eastAsia="MS Mincho"/>
                        <w:lang w:val="id-ID"/>
                      </w:rPr>
                      <m:t>V</m:t>
                    </m:r>
                  </m:e>
                  <m:sub>
                    <m:r>
                      <m:rPr>
                        <m:nor/>
                      </m:rPr>
                      <w:rPr>
                        <w:rFonts w:eastAsia="MS Mincho"/>
                        <w:lang w:val="id-ID"/>
                      </w:rPr>
                      <m:t>koreksi</m:t>
                    </m:r>
                  </m:sub>
                </m:sSub>
                <m:r>
                  <m:rPr>
                    <m:nor/>
                  </m:rPr>
                  <w:rPr>
                    <w:rFonts w:eastAsia="MS Mincho"/>
                    <w:lang w:val="id-ID"/>
                  </w:rPr>
                  <m:t>=</m:t>
                </m:r>
                <m:sSup>
                  <m:sSupPr>
                    <m:ctrlPr>
                      <w:rPr>
                        <w:rFonts w:ascii="Cambria Math" w:eastAsia="MS Mincho" w:hAnsi="Cambria Math"/>
                        <w:i/>
                        <w:lang w:val="id-ID"/>
                      </w:rPr>
                    </m:ctrlPr>
                  </m:sSupPr>
                  <m:e>
                    <m:d>
                      <m:dPr>
                        <m:ctrlPr>
                          <w:rPr>
                            <w:rFonts w:ascii="Cambria Math" w:eastAsia="MS Mincho" w:hAnsi="Cambria Math"/>
                            <w:i/>
                            <w:lang w:val="id-ID"/>
                          </w:rPr>
                        </m:ctrlPr>
                      </m:dPr>
                      <m:e>
                        <m:f>
                          <m:fPr>
                            <m:ctrlPr>
                              <w:rPr>
                                <w:rFonts w:ascii="Cambria Math" w:eastAsia="MS Mincho" w:hAnsi="Cambria Math"/>
                                <w:i/>
                                <w:lang w:val="id-ID"/>
                              </w:rPr>
                            </m:ctrlPr>
                          </m:fPr>
                          <m:num>
                            <m:r>
                              <m:rPr>
                                <m:nor/>
                              </m:rPr>
                              <w:rPr>
                                <w:rFonts w:eastAsia="MS Mincho"/>
                                <w:lang w:val="id-ID"/>
                              </w:rPr>
                              <m:t>P.T</m:t>
                            </m:r>
                          </m:num>
                          <m:den>
                            <m:r>
                              <m:rPr>
                                <m:nor/>
                              </m:rPr>
                              <w:rPr>
                                <w:rFonts w:eastAsia="MS Mincho"/>
                                <w:lang w:val="id-ID"/>
                              </w:rPr>
                              <m:t>1.225.R</m:t>
                            </m:r>
                          </m:den>
                        </m:f>
                      </m:e>
                    </m:d>
                  </m:e>
                  <m:sup>
                    <m:f>
                      <m:fPr>
                        <m:type m:val="skw"/>
                        <m:ctrlPr>
                          <w:rPr>
                            <w:rFonts w:ascii="Cambria Math" w:eastAsia="MS Mincho" w:hAnsi="Cambria Math"/>
                            <w:i/>
                            <w:lang w:val="id-ID"/>
                          </w:rPr>
                        </m:ctrlPr>
                      </m:fPr>
                      <m:num>
                        <m:r>
                          <m:rPr>
                            <m:nor/>
                          </m:rPr>
                          <w:rPr>
                            <w:rFonts w:eastAsia="MS Mincho"/>
                            <w:lang w:val="id-ID"/>
                          </w:rPr>
                          <m:t>1</m:t>
                        </m:r>
                      </m:num>
                      <m:den>
                        <m:r>
                          <m:rPr>
                            <m:nor/>
                          </m:rPr>
                          <w:rPr>
                            <w:rFonts w:eastAsia="MS Mincho"/>
                            <w:lang w:val="id-ID"/>
                          </w:rPr>
                          <m:t>3</m:t>
                        </m:r>
                      </m:den>
                    </m:f>
                  </m:sup>
                </m:sSup>
                <m:r>
                  <m:rPr>
                    <m:nor/>
                  </m:rPr>
                  <w:rPr>
                    <w:rFonts w:eastAsia="MS Mincho"/>
                    <w:lang w:val="id-ID"/>
                  </w:rPr>
                  <m:t>.</m:t>
                </m:r>
                <m:sSub>
                  <m:sSubPr>
                    <m:ctrlPr>
                      <w:rPr>
                        <w:rFonts w:ascii="Cambria Math" w:eastAsia="MS Mincho" w:hAnsi="Cambria Math"/>
                        <w:lang w:val="id-ID"/>
                      </w:rPr>
                    </m:ctrlPr>
                  </m:sSubPr>
                  <m:e>
                    <m:r>
                      <m:rPr>
                        <m:nor/>
                      </m:rPr>
                      <w:rPr>
                        <w:rFonts w:eastAsia="MS Mincho"/>
                        <w:lang w:val="id-ID"/>
                      </w:rPr>
                      <m:t>V</m:t>
                    </m:r>
                  </m:e>
                  <m:sub>
                    <m:r>
                      <m:rPr>
                        <m:nor/>
                      </m:rPr>
                      <w:rPr>
                        <w:rFonts w:eastAsia="MS Mincho"/>
                        <w:lang w:val="id-ID"/>
                      </w:rPr>
                      <m:t>original</m:t>
                    </m:r>
                  </m:sub>
                </m:sSub>
              </m:oMath>
            </m:oMathPara>
          </w:p>
        </w:tc>
        <w:tc>
          <w:tcPr>
            <w:tcW w:w="750" w:type="pct"/>
            <w:vAlign w:val="center"/>
          </w:tcPr>
          <w:p w:rsidR="002359F9" w:rsidRPr="009B71B8" w:rsidRDefault="002359F9" w:rsidP="004E378B">
            <w:pPr>
              <w:autoSpaceDE w:val="0"/>
              <w:autoSpaceDN w:val="0"/>
              <w:adjustRightInd w:val="0"/>
              <w:spacing w:line="480" w:lineRule="auto"/>
              <w:jc w:val="center"/>
              <w:rPr>
                <w:lang w:val="id-ID"/>
              </w:rPr>
            </w:pPr>
            <w:r w:rsidRPr="009B71B8">
              <w:rPr>
                <w:lang w:val="id-ID"/>
              </w:rPr>
              <w:t>(6)</w:t>
            </w:r>
          </w:p>
        </w:tc>
      </w:tr>
    </w:tbl>
    <w:p w:rsidR="00551A9A" w:rsidRPr="009B71B8" w:rsidRDefault="00AD0FAA" w:rsidP="00551A9A">
      <w:pPr>
        <w:spacing w:line="360" w:lineRule="auto"/>
        <w:jc w:val="both"/>
        <w:rPr>
          <w:lang w:val="id-ID"/>
        </w:rPr>
      </w:pPr>
      <w:r w:rsidRPr="009B71B8">
        <w:rPr>
          <w:lang w:val="id-ID"/>
        </w:rPr>
        <w:t>Pada penelitian ini menggunakan model yang tersedia pada General Electric wind turbine yaitu 1.50 MW dan 3.40 MW (GE 1.5s, 3.4-137 model) turbin angin instalasi onshore</w:t>
      </w:r>
      <w:r w:rsidR="00551A9A" w:rsidRPr="009B71B8">
        <w:rPr>
          <w:lang w:val="id-ID"/>
        </w:rPr>
        <w:t xml:space="preserve">. </w:t>
      </w:r>
      <w:r w:rsidR="00543990" w:rsidRPr="009B71B8">
        <w:rPr>
          <w:lang w:val="id-ID"/>
        </w:rPr>
        <w:t xml:space="preserve">Energi kinetik angin yang didapat dari analisa diatas direlasikan </w:t>
      </w:r>
      <w:r w:rsidR="00CE0A19" w:rsidRPr="009B71B8">
        <w:rPr>
          <w:lang w:val="id-ID"/>
        </w:rPr>
        <w:t xml:space="preserve">secara sederhana </w:t>
      </w:r>
      <w:r w:rsidR="00543990" w:rsidRPr="009B71B8">
        <w:rPr>
          <w:lang w:val="id-ID"/>
        </w:rPr>
        <w:t>dengan</w:t>
      </w:r>
      <w:r w:rsidR="00FC1414" w:rsidRPr="009B71B8">
        <w:rPr>
          <w:lang w:val="id-ID"/>
        </w:rPr>
        <w:t xml:space="preserve"> kurva-daya turbin angin berdasarkan model</w:t>
      </w:r>
      <w:r w:rsidR="00551A9A" w:rsidRPr="009B71B8">
        <w:rPr>
          <w:lang w:val="id-ID"/>
        </w:rPr>
        <w:t xml:space="preserve"> tersebut</w:t>
      </w:r>
      <w:r w:rsidR="00FC1414" w:rsidRPr="009B71B8">
        <w:rPr>
          <w:lang w:val="id-ID"/>
        </w:rPr>
        <w:t>.</w:t>
      </w:r>
      <w:r w:rsidR="001861E6" w:rsidRPr="009B71B8">
        <w:rPr>
          <w:lang w:val="id-ID"/>
        </w:rPr>
        <w:t xml:space="preserve"> Berikut ini kurva-daya GE 1.5s, 3.4-137 model. </w:t>
      </w:r>
    </w:p>
    <w:p w:rsidR="001861E6" w:rsidRPr="009B71B8" w:rsidRDefault="001861E6" w:rsidP="00551A9A">
      <w:pPr>
        <w:spacing w:line="360" w:lineRule="auto"/>
        <w:jc w:val="both"/>
        <w:rPr>
          <w:lang w:val="id-ID"/>
        </w:rPr>
      </w:pPr>
    </w:p>
    <w:p w:rsidR="001861E6" w:rsidRPr="009B71B8" w:rsidRDefault="001861E6" w:rsidP="00551A9A">
      <w:pPr>
        <w:spacing w:line="360" w:lineRule="auto"/>
        <w:jc w:val="both"/>
        <w:rPr>
          <w:lang w:val="id-ID"/>
        </w:rPr>
      </w:pPr>
    </w:p>
    <w:p w:rsidR="001861E6" w:rsidRPr="009B71B8" w:rsidRDefault="002F2AF2" w:rsidP="0060084B">
      <w:pPr>
        <w:spacing w:line="360" w:lineRule="auto"/>
        <w:jc w:val="center"/>
        <w:rPr>
          <w:lang w:val="id-ID"/>
        </w:rPr>
      </w:pPr>
      <w:r w:rsidRPr="009B71B8">
        <w:rPr>
          <w:noProof/>
        </w:rPr>
        <w:lastRenderedPageBreak/>
        <w:drawing>
          <wp:inline distT="0" distB="0" distL="0" distR="0">
            <wp:extent cx="4933275" cy="2864580"/>
            <wp:effectExtent l="19050" t="0" r="197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757CA" w:rsidRDefault="00B757CA" w:rsidP="005F148C">
      <w:pPr>
        <w:spacing w:line="360" w:lineRule="auto"/>
        <w:jc w:val="center"/>
        <w:rPr>
          <w:lang w:val="id-ID"/>
        </w:rPr>
      </w:pPr>
      <w:r>
        <w:rPr>
          <w:lang w:val="id-ID"/>
        </w:rPr>
        <w:t>Gambar 1.</w:t>
      </w:r>
    </w:p>
    <w:p w:rsidR="00541AA4" w:rsidRPr="009B71B8" w:rsidRDefault="00C44152" w:rsidP="005F148C">
      <w:pPr>
        <w:spacing w:line="360" w:lineRule="auto"/>
        <w:jc w:val="center"/>
        <w:rPr>
          <w:lang w:val="id-ID"/>
        </w:rPr>
      </w:pPr>
      <w:r w:rsidRPr="009B71B8">
        <w:rPr>
          <w:lang w:val="id-ID"/>
        </w:rPr>
        <w:t>Kurva-Daya GE 1.5s MW dan 3.4-137 MW Model</w:t>
      </w:r>
    </w:p>
    <w:p w:rsidR="005C739E" w:rsidRDefault="005C739E" w:rsidP="001824B0">
      <w:pPr>
        <w:spacing w:line="360" w:lineRule="auto"/>
        <w:ind w:firstLine="540"/>
        <w:jc w:val="both"/>
        <w:rPr>
          <w:lang w:val="id-ID"/>
        </w:rPr>
      </w:pPr>
    </w:p>
    <w:p w:rsidR="00E700D0" w:rsidRPr="009B71B8" w:rsidRDefault="001824B0" w:rsidP="0041285E">
      <w:pPr>
        <w:spacing w:line="360" w:lineRule="auto"/>
        <w:ind w:firstLine="540"/>
        <w:jc w:val="both"/>
        <w:rPr>
          <w:noProof/>
          <w:lang w:val="id-ID"/>
        </w:rPr>
      </w:pPr>
      <w:r w:rsidRPr="009B71B8">
        <w:rPr>
          <w:lang w:val="id-ID"/>
        </w:rPr>
        <w:t>Instalasi turbin angin membutuhkan ruang jarak antar turbin guna meminimalisasi interferensi aliran udara akibat interaksi putaran antar bilah turbin. Dengan luasan grid 0.25</w:t>
      </w:r>
      <w:r w:rsidRPr="009B71B8">
        <w:rPr>
          <w:vertAlign w:val="superscript"/>
          <w:lang w:val="id-ID"/>
        </w:rPr>
        <w:t>O</w:t>
      </w:r>
      <w:r w:rsidRPr="009B71B8">
        <w:rPr>
          <w:lang w:val="id-ID"/>
        </w:rPr>
        <w:t xml:space="preserve"> persegi (</w:t>
      </w:r>
      <w:r w:rsidR="00EB45A4" w:rsidRPr="009B71B8">
        <w:rPr>
          <w:lang w:val="id-ID"/>
        </w:rPr>
        <w:t>±</w:t>
      </w:r>
      <w:r w:rsidRPr="009B71B8">
        <w:rPr>
          <w:lang w:val="id-ID"/>
        </w:rPr>
        <w:t>25Km</w:t>
      </w:r>
      <w:r w:rsidRPr="009B71B8">
        <w:rPr>
          <w:vertAlign w:val="superscript"/>
          <w:lang w:val="id-ID"/>
        </w:rPr>
        <w:t>2</w:t>
      </w:r>
      <w:r w:rsidRPr="009B71B8">
        <w:rPr>
          <w:lang w:val="id-ID"/>
        </w:rPr>
        <w:t>) cukup untuk mengatasi interf</w:t>
      </w:r>
      <w:r w:rsidR="000D1D48" w:rsidRPr="009B71B8">
        <w:rPr>
          <w:lang w:val="id-ID"/>
        </w:rPr>
        <w:t>e</w:t>
      </w:r>
      <w:r w:rsidRPr="009B71B8">
        <w:rPr>
          <w:lang w:val="id-ID"/>
        </w:rPr>
        <w:t>rensi angin diatas. Pembatas ini membatasi tujuan memaksimalkan pembangkitan daya per</w:t>
      </w:r>
      <w:r w:rsidR="000D1D48" w:rsidRPr="009B71B8">
        <w:rPr>
          <w:lang w:val="id-ID"/>
        </w:rPr>
        <w:t xml:space="preserve"> </w:t>
      </w:r>
      <w:r w:rsidRPr="009B71B8">
        <w:rPr>
          <w:lang w:val="id-ID"/>
        </w:rPr>
        <w:t>turbin dengan jumlah instalasi per grid area (</w:t>
      </w:r>
      <w:r w:rsidR="0041285E">
        <w:rPr>
          <w:noProof/>
          <w:lang w:val="id-ID"/>
        </w:rPr>
        <w:t xml:space="preserve">Dhanju, </w:t>
      </w:r>
      <w:r w:rsidR="0041285E" w:rsidRPr="0041285E">
        <w:rPr>
          <w:noProof/>
          <w:lang w:val="id-ID"/>
        </w:rPr>
        <w:t>Whitaker</w:t>
      </w:r>
      <w:r w:rsidR="0041285E">
        <w:rPr>
          <w:noProof/>
          <w:lang w:val="id-ID"/>
        </w:rPr>
        <w:t xml:space="preserve"> dan </w:t>
      </w:r>
      <w:r w:rsidR="0041285E" w:rsidRPr="0041285E">
        <w:rPr>
          <w:noProof/>
          <w:lang w:val="id-ID"/>
        </w:rPr>
        <w:t>Kempton</w:t>
      </w:r>
      <w:r w:rsidRPr="009B71B8">
        <w:rPr>
          <w:noProof/>
          <w:lang w:val="id-ID"/>
        </w:rPr>
        <w:t>, 2008)</w:t>
      </w:r>
      <w:r w:rsidRPr="009B71B8">
        <w:rPr>
          <w:lang w:val="id-ID"/>
        </w:rPr>
        <w:t>.</w:t>
      </w:r>
      <w:r w:rsidR="00097A2C" w:rsidRPr="009B71B8">
        <w:rPr>
          <w:lang w:val="id-ID"/>
        </w:rPr>
        <w:t xml:space="preserve"> Mendapatkan jumlah instalasi dan ruang jarak antar turbin yang optimal perlu memperhatikan banyak faktor seperti biaya instalasi perturbin, pembanguan infrastruktur, instalasi transmisi daya dan biaya operasi dan perawatan.</w:t>
      </w:r>
      <w:r w:rsidR="00065DB6" w:rsidRPr="009B71B8">
        <w:rPr>
          <w:lang w:val="id-ID"/>
        </w:rPr>
        <w:t xml:space="preserve"> Juga diperhitungkan faktor kapasitas akibat dimana kon</w:t>
      </w:r>
      <w:r w:rsidR="0096153B" w:rsidRPr="009B71B8">
        <w:rPr>
          <w:lang w:val="id-ID"/>
        </w:rPr>
        <w:t xml:space="preserve">disi WS sangat rendah sehingga tidak terdapat pembangkitan energi listrik. </w:t>
      </w:r>
    </w:p>
    <w:p w:rsidR="00097A2C" w:rsidRPr="009B71B8" w:rsidRDefault="00097A2C" w:rsidP="001824B0">
      <w:pPr>
        <w:spacing w:line="360" w:lineRule="auto"/>
        <w:ind w:firstLine="540"/>
        <w:jc w:val="both"/>
        <w:rPr>
          <w:lang w:val="id-ID"/>
        </w:rPr>
      </w:pPr>
    </w:p>
    <w:p w:rsidR="00EA74A2" w:rsidRPr="009B71B8" w:rsidRDefault="00EA74A2" w:rsidP="001824B0">
      <w:pPr>
        <w:spacing w:line="360" w:lineRule="auto"/>
        <w:ind w:firstLine="540"/>
        <w:jc w:val="both"/>
        <w:rPr>
          <w:lang w:val="id-ID"/>
        </w:rPr>
      </w:pPr>
    </w:p>
    <w:p w:rsidR="00D2353E" w:rsidRPr="009B71B8" w:rsidRDefault="00D2353E">
      <w:pPr>
        <w:rPr>
          <w:lang w:val="id-ID"/>
        </w:rPr>
      </w:pPr>
      <w:r w:rsidRPr="009B71B8">
        <w:rPr>
          <w:lang w:val="id-ID"/>
        </w:rPr>
        <w:br w:type="page"/>
      </w:r>
    </w:p>
    <w:p w:rsidR="008F77DD" w:rsidRPr="009B71B8" w:rsidRDefault="008F77DD" w:rsidP="008F77DD">
      <w:pPr>
        <w:spacing w:line="360" w:lineRule="auto"/>
        <w:jc w:val="both"/>
        <w:rPr>
          <w:b/>
          <w:lang w:val="id-ID"/>
        </w:rPr>
      </w:pPr>
      <w:r w:rsidRPr="009B71B8">
        <w:rPr>
          <w:b/>
          <w:lang w:val="id-ID"/>
        </w:rPr>
        <w:lastRenderedPageBreak/>
        <w:t>HASIL DAN PEMBAHASAN</w:t>
      </w:r>
    </w:p>
    <w:p w:rsidR="008F77DD" w:rsidRPr="009B71B8" w:rsidRDefault="00D2353E" w:rsidP="008F77DD">
      <w:pPr>
        <w:spacing w:line="360" w:lineRule="auto"/>
        <w:ind w:firstLine="540"/>
        <w:jc w:val="both"/>
        <w:rPr>
          <w:lang w:val="id-ID"/>
        </w:rPr>
      </w:pPr>
      <w:r w:rsidRPr="009B71B8">
        <w:rPr>
          <w:lang w:val="id-ID"/>
        </w:rPr>
        <w:t xml:space="preserve">Dengan rentang tahun dari tahun 1997 sampai tahun 2009, Hasil perhitungan statistik untuk keseluruhan data ditunjukkan pada tabel 2 berikut. </w:t>
      </w:r>
    </w:p>
    <w:p w:rsidR="00DF054F" w:rsidRPr="009B71B8" w:rsidRDefault="008A56F6" w:rsidP="00BB2768">
      <w:pPr>
        <w:spacing w:line="360" w:lineRule="auto"/>
        <w:ind w:firstLine="540"/>
        <w:jc w:val="center"/>
        <w:rPr>
          <w:lang w:val="id-ID"/>
        </w:rPr>
      </w:pPr>
      <w:r w:rsidRPr="009B71B8">
        <w:rPr>
          <w:lang w:val="id-ID"/>
        </w:rPr>
        <w:t>Tabel 2.</w:t>
      </w:r>
    </w:p>
    <w:p w:rsidR="008A56F6" w:rsidRPr="009B71B8" w:rsidRDefault="00DF054F" w:rsidP="00BB2768">
      <w:pPr>
        <w:spacing w:line="360" w:lineRule="auto"/>
        <w:ind w:firstLine="540"/>
        <w:jc w:val="center"/>
        <w:rPr>
          <w:lang w:val="id-ID"/>
        </w:rPr>
      </w:pPr>
      <w:r w:rsidRPr="009B71B8">
        <w:rPr>
          <w:lang w:val="id-ID"/>
        </w:rPr>
        <w:t>Statistik WS pada rentang tahun 1997-2009.</w:t>
      </w:r>
    </w:p>
    <w:tbl>
      <w:tblPr>
        <w:tblW w:w="5957" w:type="dxa"/>
        <w:jc w:val="center"/>
        <w:tblInd w:w="-1077" w:type="dxa"/>
        <w:tblLayout w:type="fixed"/>
        <w:tblCellMar>
          <w:left w:w="0" w:type="dxa"/>
          <w:right w:w="0" w:type="dxa"/>
        </w:tblCellMar>
        <w:tblLook w:val="0000"/>
      </w:tblPr>
      <w:tblGrid>
        <w:gridCol w:w="2534"/>
        <w:gridCol w:w="3423"/>
      </w:tblGrid>
      <w:tr w:rsidR="007C69B8" w:rsidRPr="009B71B8" w:rsidTr="00A90245">
        <w:trPr>
          <w:jc w:val="center"/>
        </w:trPr>
        <w:tc>
          <w:tcPr>
            <w:tcW w:w="2534" w:type="dxa"/>
            <w:tcBorders>
              <w:top w:val="single" w:sz="8" w:space="0" w:color="000000"/>
              <w:bottom w:val="single" w:sz="4" w:space="0" w:color="000000"/>
            </w:tcBorders>
            <w:shd w:val="clear" w:color="auto" w:fill="auto"/>
          </w:tcPr>
          <w:p w:rsidR="007C69B8" w:rsidRPr="009B71B8" w:rsidRDefault="00803BE7" w:rsidP="004973F0">
            <w:pPr>
              <w:autoSpaceDE w:val="0"/>
              <w:snapToGrid w:val="0"/>
              <w:rPr>
                <w:lang w:val="id-ID"/>
              </w:rPr>
            </w:pPr>
            <w:r w:rsidRPr="009B71B8">
              <w:rPr>
                <w:lang w:val="id-ID"/>
              </w:rPr>
              <w:t>Parameter</w:t>
            </w:r>
          </w:p>
        </w:tc>
        <w:tc>
          <w:tcPr>
            <w:tcW w:w="3423" w:type="dxa"/>
            <w:tcBorders>
              <w:top w:val="single" w:sz="8" w:space="0" w:color="000000"/>
              <w:bottom w:val="single" w:sz="4" w:space="0" w:color="000000"/>
            </w:tcBorders>
            <w:shd w:val="clear" w:color="auto" w:fill="auto"/>
          </w:tcPr>
          <w:p w:rsidR="007C69B8" w:rsidRPr="009B71B8" w:rsidRDefault="007C69B8" w:rsidP="004973F0">
            <w:pPr>
              <w:autoSpaceDE w:val="0"/>
              <w:snapToGrid w:val="0"/>
              <w:jc w:val="center"/>
              <w:rPr>
                <w:lang w:val="id-ID"/>
              </w:rPr>
            </w:pPr>
            <w:r w:rsidRPr="009B71B8">
              <w:rPr>
                <w:lang w:val="id-ID"/>
              </w:rPr>
              <w:t>WS (</w:t>
            </w:r>
            <w:r w:rsidRPr="009B71B8">
              <w:rPr>
                <w:iCs/>
                <w:lang w:val="id-ID"/>
              </w:rPr>
              <w:t>m s</w:t>
            </w:r>
            <w:r w:rsidRPr="009B71B8">
              <w:rPr>
                <w:iCs/>
                <w:vertAlign w:val="superscript"/>
                <w:lang w:val="id-ID"/>
              </w:rPr>
              <w:t>–1</w:t>
            </w:r>
            <w:r w:rsidRPr="009B71B8">
              <w:rPr>
                <w:iCs/>
                <w:lang w:val="id-ID"/>
              </w:rPr>
              <w:t>)</w:t>
            </w:r>
          </w:p>
        </w:tc>
      </w:tr>
      <w:tr w:rsidR="007C69B8" w:rsidRPr="009B71B8" w:rsidTr="00A90245">
        <w:trPr>
          <w:jc w:val="center"/>
        </w:trPr>
        <w:tc>
          <w:tcPr>
            <w:tcW w:w="2534" w:type="dxa"/>
            <w:tcBorders>
              <w:bottom w:val="single" w:sz="4" w:space="0" w:color="000000"/>
            </w:tcBorders>
            <w:shd w:val="clear" w:color="auto" w:fill="auto"/>
          </w:tcPr>
          <w:p w:rsidR="007C69B8" w:rsidRPr="009B71B8" w:rsidRDefault="007C69B8" w:rsidP="004973F0">
            <w:pPr>
              <w:autoSpaceDE w:val="0"/>
              <w:snapToGrid w:val="0"/>
              <w:rPr>
                <w:lang w:val="id-ID"/>
              </w:rPr>
            </w:pPr>
            <w:r w:rsidRPr="009B71B8">
              <w:rPr>
                <w:lang w:val="id-ID"/>
              </w:rPr>
              <w:t>Minimum</w:t>
            </w:r>
          </w:p>
        </w:tc>
        <w:tc>
          <w:tcPr>
            <w:tcW w:w="3423" w:type="dxa"/>
            <w:tcBorders>
              <w:bottom w:val="single" w:sz="4" w:space="0" w:color="000000"/>
            </w:tcBorders>
            <w:shd w:val="clear" w:color="auto" w:fill="auto"/>
          </w:tcPr>
          <w:p w:rsidR="007C69B8" w:rsidRPr="009B71B8" w:rsidRDefault="007C69B8" w:rsidP="004973F0">
            <w:pPr>
              <w:autoSpaceDE w:val="0"/>
              <w:snapToGrid w:val="0"/>
              <w:jc w:val="center"/>
              <w:rPr>
                <w:lang w:val="id-ID"/>
              </w:rPr>
            </w:pPr>
            <w:r w:rsidRPr="009B71B8">
              <w:rPr>
                <w:lang w:val="id-ID"/>
              </w:rPr>
              <w:t xml:space="preserve"> 0.00</w:t>
            </w:r>
          </w:p>
        </w:tc>
      </w:tr>
      <w:tr w:rsidR="007C69B8" w:rsidRPr="009B71B8" w:rsidTr="00A90245">
        <w:trPr>
          <w:jc w:val="center"/>
        </w:trPr>
        <w:tc>
          <w:tcPr>
            <w:tcW w:w="2534" w:type="dxa"/>
            <w:tcBorders>
              <w:bottom w:val="single" w:sz="4" w:space="0" w:color="000000"/>
            </w:tcBorders>
            <w:shd w:val="clear" w:color="auto" w:fill="auto"/>
          </w:tcPr>
          <w:p w:rsidR="007C69B8" w:rsidRPr="009B71B8" w:rsidRDefault="00803BE7" w:rsidP="004973F0">
            <w:pPr>
              <w:autoSpaceDE w:val="0"/>
              <w:snapToGrid w:val="0"/>
              <w:rPr>
                <w:lang w:val="id-ID"/>
              </w:rPr>
            </w:pPr>
            <w:r w:rsidRPr="009B71B8">
              <w:rPr>
                <w:lang w:val="id-ID"/>
              </w:rPr>
              <w:t>Maks</w:t>
            </w:r>
            <w:r w:rsidR="007C69B8" w:rsidRPr="009B71B8">
              <w:rPr>
                <w:lang w:val="id-ID"/>
              </w:rPr>
              <w:t>imum</w:t>
            </w:r>
          </w:p>
        </w:tc>
        <w:tc>
          <w:tcPr>
            <w:tcW w:w="3423" w:type="dxa"/>
            <w:tcBorders>
              <w:bottom w:val="single" w:sz="4" w:space="0" w:color="000000"/>
            </w:tcBorders>
            <w:shd w:val="clear" w:color="auto" w:fill="auto"/>
          </w:tcPr>
          <w:p w:rsidR="007C69B8" w:rsidRPr="009B71B8" w:rsidRDefault="007C69B8" w:rsidP="004973F0">
            <w:pPr>
              <w:autoSpaceDE w:val="0"/>
              <w:snapToGrid w:val="0"/>
              <w:jc w:val="center"/>
              <w:rPr>
                <w:lang w:val="id-ID"/>
              </w:rPr>
            </w:pPr>
            <w:r w:rsidRPr="009B71B8">
              <w:rPr>
                <w:lang w:val="id-ID"/>
              </w:rPr>
              <w:t>26.20</w:t>
            </w:r>
          </w:p>
        </w:tc>
      </w:tr>
      <w:tr w:rsidR="007C69B8" w:rsidRPr="009B71B8" w:rsidTr="00A90245">
        <w:trPr>
          <w:jc w:val="center"/>
        </w:trPr>
        <w:tc>
          <w:tcPr>
            <w:tcW w:w="2534" w:type="dxa"/>
            <w:tcBorders>
              <w:bottom w:val="single" w:sz="4" w:space="0" w:color="000000"/>
            </w:tcBorders>
            <w:shd w:val="clear" w:color="auto" w:fill="auto"/>
          </w:tcPr>
          <w:p w:rsidR="007C69B8" w:rsidRPr="009B71B8" w:rsidRDefault="00803BE7" w:rsidP="004973F0">
            <w:pPr>
              <w:autoSpaceDE w:val="0"/>
              <w:snapToGrid w:val="0"/>
              <w:rPr>
                <w:lang w:val="id-ID"/>
              </w:rPr>
            </w:pPr>
            <w:r w:rsidRPr="009B71B8">
              <w:rPr>
                <w:lang w:val="id-ID"/>
              </w:rPr>
              <w:t>Rata-rata</w:t>
            </w:r>
          </w:p>
        </w:tc>
        <w:tc>
          <w:tcPr>
            <w:tcW w:w="3423" w:type="dxa"/>
            <w:tcBorders>
              <w:bottom w:val="single" w:sz="4" w:space="0" w:color="000000"/>
            </w:tcBorders>
            <w:shd w:val="clear" w:color="auto" w:fill="auto"/>
          </w:tcPr>
          <w:p w:rsidR="007C69B8" w:rsidRPr="009B71B8" w:rsidRDefault="007C69B8" w:rsidP="004973F0">
            <w:pPr>
              <w:autoSpaceDE w:val="0"/>
              <w:snapToGrid w:val="0"/>
              <w:jc w:val="center"/>
              <w:rPr>
                <w:lang w:val="id-ID"/>
              </w:rPr>
            </w:pPr>
            <w:r w:rsidRPr="009B71B8">
              <w:rPr>
                <w:lang w:val="id-ID"/>
              </w:rPr>
              <w:t xml:space="preserve"> 6.64</w:t>
            </w:r>
          </w:p>
        </w:tc>
      </w:tr>
      <w:tr w:rsidR="007C69B8" w:rsidRPr="009B71B8" w:rsidTr="00A90245">
        <w:trPr>
          <w:jc w:val="center"/>
        </w:trPr>
        <w:tc>
          <w:tcPr>
            <w:tcW w:w="2534" w:type="dxa"/>
            <w:tcBorders>
              <w:top w:val="single" w:sz="4" w:space="0" w:color="000000"/>
              <w:bottom w:val="single" w:sz="4" w:space="0" w:color="000000"/>
            </w:tcBorders>
            <w:shd w:val="clear" w:color="auto" w:fill="auto"/>
          </w:tcPr>
          <w:p w:rsidR="007C69B8" w:rsidRPr="009B71B8" w:rsidRDefault="00803BE7" w:rsidP="004973F0">
            <w:pPr>
              <w:autoSpaceDE w:val="0"/>
              <w:snapToGrid w:val="0"/>
              <w:rPr>
                <w:lang w:val="id-ID"/>
              </w:rPr>
            </w:pPr>
            <w:r w:rsidRPr="009B71B8">
              <w:rPr>
                <w:lang w:val="id-ID"/>
              </w:rPr>
              <w:t>Standar</w:t>
            </w:r>
            <w:r w:rsidR="00A90245" w:rsidRPr="009B71B8">
              <w:rPr>
                <w:lang w:val="id-ID"/>
              </w:rPr>
              <w:t xml:space="preserve"> </w:t>
            </w:r>
            <w:r w:rsidRPr="009B71B8">
              <w:rPr>
                <w:lang w:val="id-ID"/>
              </w:rPr>
              <w:t>deviasi</w:t>
            </w:r>
            <w:r w:rsidR="00A90245" w:rsidRPr="009B71B8">
              <w:rPr>
                <w:lang w:val="id-ID"/>
              </w:rPr>
              <w:t>(</w:t>
            </w:r>
            <w:r w:rsidR="00A90245" w:rsidRPr="009B71B8">
              <w:rPr>
                <w:i/>
                <w:lang w:val="id-ID"/>
              </w:rPr>
              <w:t>σ</w:t>
            </w:r>
            <w:r w:rsidR="00A90245" w:rsidRPr="009B71B8">
              <w:rPr>
                <w:lang w:val="id-ID"/>
              </w:rPr>
              <w:t>)</w:t>
            </w:r>
          </w:p>
        </w:tc>
        <w:tc>
          <w:tcPr>
            <w:tcW w:w="3423" w:type="dxa"/>
            <w:tcBorders>
              <w:top w:val="single" w:sz="4" w:space="0" w:color="000000"/>
              <w:bottom w:val="single" w:sz="4" w:space="0" w:color="000000"/>
            </w:tcBorders>
            <w:shd w:val="clear" w:color="auto" w:fill="auto"/>
          </w:tcPr>
          <w:p w:rsidR="007C69B8" w:rsidRPr="009B71B8" w:rsidRDefault="007C69B8" w:rsidP="004973F0">
            <w:pPr>
              <w:autoSpaceDE w:val="0"/>
              <w:snapToGrid w:val="0"/>
              <w:jc w:val="center"/>
              <w:rPr>
                <w:lang w:val="id-ID"/>
              </w:rPr>
            </w:pPr>
            <w:r w:rsidRPr="009B71B8">
              <w:rPr>
                <w:lang w:val="id-ID"/>
              </w:rPr>
              <w:t xml:space="preserve"> 1.64</w:t>
            </w:r>
          </w:p>
        </w:tc>
      </w:tr>
    </w:tbl>
    <w:p w:rsidR="00946D74" w:rsidRPr="009B71B8" w:rsidRDefault="00946D74" w:rsidP="008F77DD">
      <w:pPr>
        <w:spacing w:line="360" w:lineRule="auto"/>
        <w:ind w:firstLine="540"/>
        <w:jc w:val="both"/>
        <w:rPr>
          <w:lang w:val="id-ID"/>
        </w:rPr>
      </w:pPr>
    </w:p>
    <w:p w:rsidR="00F2688A" w:rsidRDefault="00993F14" w:rsidP="00D37B50">
      <w:pPr>
        <w:spacing w:line="360" w:lineRule="auto"/>
        <w:jc w:val="both"/>
        <w:rPr>
          <w:iCs/>
          <w:lang w:val="id-ID"/>
        </w:rPr>
      </w:pPr>
      <w:r w:rsidRPr="009B71B8">
        <w:rPr>
          <w:lang w:val="id-ID"/>
        </w:rPr>
        <w:t xml:space="preserve">WS rata-rata sebesar 6.64 </w:t>
      </w:r>
      <w:r w:rsidRPr="009B71B8">
        <w:rPr>
          <w:iCs/>
          <w:lang w:val="id-ID"/>
        </w:rPr>
        <w:t>m s</w:t>
      </w:r>
      <w:r w:rsidRPr="009B71B8">
        <w:rPr>
          <w:iCs/>
          <w:vertAlign w:val="superscript"/>
          <w:lang w:val="id-ID"/>
        </w:rPr>
        <w:t>–1</w:t>
      </w:r>
      <w:r w:rsidRPr="009B71B8">
        <w:rPr>
          <w:iCs/>
          <w:lang w:val="id-ID"/>
        </w:rPr>
        <w:t xml:space="preserve"> dengan standar deviasi </w:t>
      </w:r>
      <w:r w:rsidRPr="009B71B8">
        <w:rPr>
          <w:lang w:val="id-ID"/>
        </w:rPr>
        <w:t xml:space="preserve">1.64 </w:t>
      </w:r>
      <w:r w:rsidRPr="009B71B8">
        <w:rPr>
          <w:iCs/>
          <w:lang w:val="id-ID"/>
        </w:rPr>
        <w:t>m s</w:t>
      </w:r>
      <w:r w:rsidRPr="009B71B8">
        <w:rPr>
          <w:iCs/>
          <w:vertAlign w:val="superscript"/>
          <w:lang w:val="id-ID"/>
        </w:rPr>
        <w:t>–1</w:t>
      </w:r>
      <w:r w:rsidRPr="009B71B8">
        <w:rPr>
          <w:iCs/>
          <w:lang w:val="id-ID"/>
        </w:rPr>
        <w:t>, WS berkisar 5.0 sampai dengan 8.28 m s</w:t>
      </w:r>
      <w:r w:rsidRPr="009B71B8">
        <w:rPr>
          <w:iCs/>
          <w:vertAlign w:val="superscript"/>
          <w:lang w:val="id-ID"/>
        </w:rPr>
        <w:t>–1</w:t>
      </w:r>
      <w:r w:rsidRPr="009B71B8">
        <w:rPr>
          <w:iCs/>
          <w:lang w:val="id-ID"/>
        </w:rPr>
        <w:t>.</w:t>
      </w:r>
      <w:r w:rsidR="000E4663" w:rsidRPr="009B71B8">
        <w:rPr>
          <w:iCs/>
          <w:lang w:val="id-ID"/>
        </w:rPr>
        <w:t xml:space="preserve"> Data global</w:t>
      </w:r>
      <w:r w:rsidR="00F0124E" w:rsidRPr="009B71B8">
        <w:rPr>
          <w:iCs/>
          <w:lang w:val="id-ID"/>
        </w:rPr>
        <w:t xml:space="preserve"> menunjukkan</w:t>
      </w:r>
      <w:r w:rsidR="000E4663" w:rsidRPr="009B71B8">
        <w:rPr>
          <w:iCs/>
          <w:lang w:val="id-ID"/>
        </w:rPr>
        <w:t>, sekitar 13% station cuaca melaporkan rata-rata tahunan WS lebih dari</w:t>
      </w:r>
      <w:r w:rsidR="00AF09BC" w:rsidRPr="009B71B8">
        <w:rPr>
          <w:iCs/>
          <w:lang w:val="id-ID"/>
        </w:rPr>
        <w:t xml:space="preserve"> 6.9 m s</w:t>
      </w:r>
      <w:r w:rsidR="00AF09BC" w:rsidRPr="009B71B8">
        <w:rPr>
          <w:iCs/>
          <w:vertAlign w:val="superscript"/>
          <w:lang w:val="id-ID"/>
        </w:rPr>
        <w:t>–1</w:t>
      </w:r>
      <w:r w:rsidR="00AF09BC" w:rsidRPr="009B71B8">
        <w:rPr>
          <w:iCs/>
          <w:lang w:val="id-ID"/>
        </w:rPr>
        <w:t xml:space="preserve">. WS pada ketinggian 10 m diatas permukaan laut rata-rata global sebesar </w:t>
      </w:r>
      <w:r w:rsidR="00AF09BC" w:rsidRPr="009B71B8">
        <w:rPr>
          <w:lang w:val="id-ID"/>
        </w:rPr>
        <w:t xml:space="preserve">6.64 </w:t>
      </w:r>
      <w:r w:rsidR="00AF09BC" w:rsidRPr="009B71B8">
        <w:rPr>
          <w:iCs/>
          <w:lang w:val="id-ID"/>
        </w:rPr>
        <w:t>m s</w:t>
      </w:r>
      <w:r w:rsidR="00AF09BC" w:rsidRPr="009B71B8">
        <w:rPr>
          <w:iCs/>
          <w:vertAlign w:val="superscript"/>
          <w:lang w:val="id-ID"/>
        </w:rPr>
        <w:t>–1</w:t>
      </w:r>
      <w:r w:rsidR="00AF09BC" w:rsidRPr="009B71B8">
        <w:rPr>
          <w:iCs/>
          <w:lang w:val="id-ID"/>
        </w:rPr>
        <w:t xml:space="preserve"> dan pada daratan sebesar </w:t>
      </w:r>
      <w:r w:rsidR="00AF09BC" w:rsidRPr="009B71B8">
        <w:rPr>
          <w:sz w:val="22"/>
          <w:szCs w:val="22"/>
          <w:lang w:val="id-ID"/>
        </w:rPr>
        <w:t xml:space="preserve">3.28 </w:t>
      </w:r>
      <w:r w:rsidR="00AF09BC" w:rsidRPr="009B71B8">
        <w:rPr>
          <w:iCs/>
          <w:lang w:val="id-ID"/>
        </w:rPr>
        <w:t>m s</w:t>
      </w:r>
      <w:r w:rsidR="00AF09BC" w:rsidRPr="009B71B8">
        <w:rPr>
          <w:iCs/>
          <w:vertAlign w:val="superscript"/>
          <w:lang w:val="id-ID"/>
        </w:rPr>
        <w:t>–1</w:t>
      </w:r>
      <w:r w:rsidR="00AF09BC" w:rsidRPr="009B71B8">
        <w:rPr>
          <w:iCs/>
          <w:lang w:val="id-ID"/>
        </w:rPr>
        <w:t xml:space="preserve">. Perubahan ketinggian WS lebih tinggi, pada ketinggian 80 m WS berkisar </w:t>
      </w:r>
      <w:r w:rsidR="00AF09BC" w:rsidRPr="009B71B8">
        <w:rPr>
          <w:sz w:val="22"/>
          <w:szCs w:val="22"/>
          <w:lang w:val="id-ID"/>
        </w:rPr>
        <w:t xml:space="preserve">8.60 </w:t>
      </w:r>
      <w:r w:rsidR="00AF09BC" w:rsidRPr="009B71B8">
        <w:rPr>
          <w:iCs/>
          <w:lang w:val="id-ID"/>
        </w:rPr>
        <w:t>m s</w:t>
      </w:r>
      <w:r w:rsidR="00AF09BC" w:rsidRPr="009B71B8">
        <w:rPr>
          <w:iCs/>
          <w:vertAlign w:val="superscript"/>
          <w:lang w:val="id-ID"/>
        </w:rPr>
        <w:t>–1</w:t>
      </w:r>
      <w:r w:rsidR="00DA3E36" w:rsidRPr="009B71B8">
        <w:rPr>
          <w:iCs/>
          <w:lang w:val="id-ID"/>
        </w:rPr>
        <w:t xml:space="preserve"> dan </w:t>
      </w:r>
      <w:r w:rsidR="00DA3E36" w:rsidRPr="009B71B8">
        <w:rPr>
          <w:sz w:val="22"/>
          <w:szCs w:val="22"/>
          <w:lang w:val="id-ID"/>
        </w:rPr>
        <w:t xml:space="preserve">4.54 </w:t>
      </w:r>
      <w:r w:rsidR="00DA3E36" w:rsidRPr="009B71B8">
        <w:rPr>
          <w:iCs/>
          <w:lang w:val="id-ID"/>
        </w:rPr>
        <w:t>m s</w:t>
      </w:r>
      <w:r w:rsidR="00DA3E36" w:rsidRPr="009B71B8">
        <w:rPr>
          <w:iCs/>
          <w:vertAlign w:val="superscript"/>
          <w:lang w:val="id-ID"/>
        </w:rPr>
        <w:t>–1</w:t>
      </w:r>
      <w:r w:rsidR="00DA3E36" w:rsidRPr="009B71B8">
        <w:rPr>
          <w:iCs/>
          <w:lang w:val="id-ID"/>
        </w:rPr>
        <w:t xml:space="preserve"> untuk diatas permukaan laut dan daratan </w:t>
      </w:r>
      <w:r w:rsidR="0024341E" w:rsidRPr="00376ACA">
        <w:rPr>
          <w:iCs/>
          <w:lang w:val="id-ID"/>
        </w:rPr>
        <w:t>(</w:t>
      </w:r>
      <w:r w:rsidR="00D37B50">
        <w:rPr>
          <w:iCs/>
          <w:lang w:val="id-ID"/>
        </w:rPr>
        <w:t xml:space="preserve">Archer dan </w:t>
      </w:r>
      <w:r w:rsidR="00D37B50" w:rsidRPr="00D37B50">
        <w:rPr>
          <w:iCs/>
          <w:lang w:val="id-ID"/>
        </w:rPr>
        <w:t>Jacobson</w:t>
      </w:r>
      <w:r w:rsidR="0024341E" w:rsidRPr="00376ACA">
        <w:rPr>
          <w:lang w:val="id-ID"/>
        </w:rPr>
        <w:t>, 2005)</w:t>
      </w:r>
      <w:r w:rsidR="00DA3E36" w:rsidRPr="00376ACA">
        <w:rPr>
          <w:iCs/>
          <w:lang w:val="id-ID"/>
        </w:rPr>
        <w:t>.</w:t>
      </w:r>
      <w:r w:rsidR="006E4928" w:rsidRPr="009B71B8">
        <w:rPr>
          <w:iCs/>
          <w:lang w:val="id-ID"/>
        </w:rPr>
        <w:t xml:space="preserve"> </w:t>
      </w:r>
      <w:r w:rsidRPr="009B71B8">
        <w:rPr>
          <w:iCs/>
          <w:lang w:val="id-ID"/>
        </w:rPr>
        <w:t xml:space="preserve">WS relatif rendah dikarenakan posisi geografis Indonesia berada di daerah </w:t>
      </w:r>
      <w:r w:rsidRPr="009B71B8">
        <w:rPr>
          <w:lang w:val="id-ID"/>
        </w:rPr>
        <w:t>katulistiwa</w:t>
      </w:r>
      <w:r w:rsidR="00F2688A">
        <w:rPr>
          <w:iCs/>
          <w:lang w:val="id-ID"/>
        </w:rPr>
        <w:t>.</w:t>
      </w:r>
    </w:p>
    <w:p w:rsidR="007E7DCB" w:rsidRDefault="00993F14" w:rsidP="00F2688A">
      <w:pPr>
        <w:spacing w:line="360" w:lineRule="auto"/>
        <w:ind w:firstLine="540"/>
        <w:jc w:val="both"/>
        <w:rPr>
          <w:lang w:val="id-ID"/>
        </w:rPr>
      </w:pPr>
      <w:r w:rsidRPr="009B71B8">
        <w:rPr>
          <w:iCs/>
          <w:lang w:val="id-ID"/>
        </w:rPr>
        <w:t xml:space="preserve">Dari meteorologi, </w:t>
      </w:r>
      <w:r w:rsidR="00E92A66" w:rsidRPr="009B71B8">
        <w:rPr>
          <w:iCs/>
          <w:lang w:val="id-ID"/>
        </w:rPr>
        <w:t>pada</w:t>
      </w:r>
      <w:r w:rsidRPr="009B71B8">
        <w:rPr>
          <w:iCs/>
          <w:lang w:val="id-ID"/>
        </w:rPr>
        <w:t xml:space="preserve"> daerah subtropik</w:t>
      </w:r>
      <w:r w:rsidR="00E92A66" w:rsidRPr="009B71B8">
        <w:rPr>
          <w:iCs/>
          <w:lang w:val="id-ID"/>
        </w:rPr>
        <w:t xml:space="preserve"> belahan bumi utara dan selatan, </w:t>
      </w:r>
      <w:r w:rsidR="00E92A66" w:rsidRPr="009B71B8">
        <w:rPr>
          <w:lang w:val="id-ID"/>
        </w:rPr>
        <w:t>angin bertiup tetap sepanjang tahun</w:t>
      </w:r>
      <w:r w:rsidR="00E92A66" w:rsidRPr="009B71B8">
        <w:rPr>
          <w:iCs/>
          <w:lang w:val="id-ID"/>
        </w:rPr>
        <w:t xml:space="preserve"> menuju ke barat disebut angin </w:t>
      </w:r>
      <w:r w:rsidR="00B35025" w:rsidRPr="009B71B8">
        <w:rPr>
          <w:iCs/>
          <w:lang w:val="id-ID"/>
        </w:rPr>
        <w:t>pasat (</w:t>
      </w:r>
      <w:r w:rsidR="00E92A66" w:rsidRPr="009B71B8">
        <w:rPr>
          <w:iCs/>
          <w:lang w:val="id-ID"/>
        </w:rPr>
        <w:t>tradewinds</w:t>
      </w:r>
      <w:r w:rsidR="00B35025" w:rsidRPr="009B71B8">
        <w:rPr>
          <w:iCs/>
          <w:lang w:val="id-ID"/>
        </w:rPr>
        <w:t>)</w:t>
      </w:r>
      <w:r w:rsidR="00E92A66" w:rsidRPr="009B71B8">
        <w:rPr>
          <w:iCs/>
          <w:lang w:val="id-ID"/>
        </w:rPr>
        <w:t xml:space="preserve">. </w:t>
      </w:r>
      <w:r w:rsidR="00E92A66" w:rsidRPr="009B71B8">
        <w:rPr>
          <w:lang w:val="id-ID"/>
        </w:rPr>
        <w:t>Di sekitar katulistiwa, kedua angin pasat bertemu (konvergen) dan disebut intertropical convergens zone</w:t>
      </w:r>
      <w:r w:rsidR="00ED3D6A">
        <w:rPr>
          <w:lang w:val="id-ID"/>
        </w:rPr>
        <w:t xml:space="preserve"> (ITCZ) (</w:t>
      </w:r>
      <w:r w:rsidR="00ED3D6A" w:rsidRPr="00845559">
        <w:rPr>
          <w:noProof/>
          <w:lang w:val="id-ID"/>
        </w:rPr>
        <w:t>Nicholson</w:t>
      </w:r>
      <w:r w:rsidR="00ED3D6A">
        <w:rPr>
          <w:noProof/>
          <w:lang w:val="id-ID"/>
        </w:rPr>
        <w:t>, et al., 2018)</w:t>
      </w:r>
      <w:r w:rsidR="00E92A66" w:rsidRPr="009B71B8">
        <w:rPr>
          <w:lang w:val="id-ID"/>
        </w:rPr>
        <w:t xml:space="preserve">. Akibat temperatur daerah tropis tinggi, massa udara naik secara vertikal (konveksi). </w:t>
      </w:r>
      <w:r w:rsidR="00231D38" w:rsidRPr="009B71B8">
        <w:rPr>
          <w:lang w:val="id-ID"/>
        </w:rPr>
        <w:t>Sehingga daerah ini memiliki karakteristik angin yang tenang (doldrums)</w:t>
      </w:r>
      <w:r w:rsidR="00C63789">
        <w:rPr>
          <w:lang w:val="id-ID"/>
        </w:rPr>
        <w:t xml:space="preserve"> (</w:t>
      </w:r>
      <w:r w:rsidR="00C63789" w:rsidRPr="00845559">
        <w:rPr>
          <w:noProof/>
          <w:lang w:val="id-ID"/>
        </w:rPr>
        <w:t>Klocke</w:t>
      </w:r>
      <w:r w:rsidR="00C63789">
        <w:rPr>
          <w:lang w:val="id-ID"/>
        </w:rPr>
        <w:t xml:space="preserve"> </w:t>
      </w:r>
      <w:r w:rsidR="00C63789">
        <w:rPr>
          <w:noProof/>
          <w:lang w:val="id-ID"/>
        </w:rPr>
        <w:t>et al., 2017)</w:t>
      </w:r>
      <w:r w:rsidR="00C63789" w:rsidRPr="009B71B8">
        <w:rPr>
          <w:lang w:val="id-ID"/>
        </w:rPr>
        <w:t>.</w:t>
      </w:r>
    </w:p>
    <w:p w:rsidR="002F152C" w:rsidRDefault="007E7DCB" w:rsidP="00B0087F">
      <w:pPr>
        <w:spacing w:line="360" w:lineRule="auto"/>
        <w:ind w:firstLine="540"/>
        <w:jc w:val="both"/>
        <w:rPr>
          <w:iCs/>
          <w:lang w:val="id-ID"/>
        </w:rPr>
      </w:pPr>
      <w:r w:rsidRPr="004E468C">
        <w:rPr>
          <w:lang w:val="id-ID"/>
        </w:rPr>
        <w:t>Dilihat dari datasheet GE 1.5 MW kecepatan angin nominal dibutuhkan sebesar 13.0 m s</w:t>
      </w:r>
      <w:r w:rsidRPr="009B71B8">
        <w:rPr>
          <w:iCs/>
          <w:vertAlign w:val="superscript"/>
          <w:lang w:val="id-ID"/>
        </w:rPr>
        <w:t>–1</w:t>
      </w:r>
      <w:r>
        <w:rPr>
          <w:iCs/>
          <w:vertAlign w:val="superscript"/>
          <w:lang w:val="id-ID"/>
        </w:rPr>
        <w:t xml:space="preserve"> </w:t>
      </w:r>
      <w:r w:rsidRPr="004E468C">
        <w:rPr>
          <w:lang w:val="id-ID"/>
        </w:rPr>
        <w:t>(</w:t>
      </w:r>
      <w:r w:rsidRPr="004E468C">
        <w:rPr>
          <w:i/>
          <w:lang w:val="id-ID"/>
        </w:rPr>
        <w:t>rated</w:t>
      </w:r>
      <w:r w:rsidRPr="004E468C">
        <w:rPr>
          <w:lang w:val="id-ID"/>
        </w:rPr>
        <w:t>)</w:t>
      </w:r>
      <w:r>
        <w:rPr>
          <w:lang w:val="id-ID"/>
        </w:rPr>
        <w:t xml:space="preserve"> </w:t>
      </w:r>
      <w:r w:rsidRPr="004E468C">
        <w:rPr>
          <w:lang w:val="id-ID"/>
        </w:rPr>
        <w:t>dan minimal sebesar 4.0 m s</w:t>
      </w:r>
      <w:r w:rsidRPr="009B71B8">
        <w:rPr>
          <w:iCs/>
          <w:vertAlign w:val="superscript"/>
          <w:lang w:val="id-ID"/>
        </w:rPr>
        <w:t>–1</w:t>
      </w:r>
      <w:r>
        <w:rPr>
          <w:lang w:val="id-ID"/>
        </w:rPr>
        <w:t xml:space="preserve"> </w:t>
      </w:r>
      <w:r w:rsidRPr="004E468C">
        <w:rPr>
          <w:lang w:val="id-ID"/>
        </w:rPr>
        <w:t>(</w:t>
      </w:r>
      <w:r w:rsidRPr="004E468C">
        <w:rPr>
          <w:i/>
          <w:lang w:val="id-ID"/>
        </w:rPr>
        <w:t>cut-in</w:t>
      </w:r>
      <w:r w:rsidRPr="004E468C">
        <w:rPr>
          <w:lang w:val="id-ID"/>
        </w:rPr>
        <w:t>)</w:t>
      </w:r>
      <w:r>
        <w:rPr>
          <w:lang w:val="id-ID"/>
        </w:rPr>
        <w:t xml:space="preserve">. Dengan kondisi </w:t>
      </w:r>
      <w:r w:rsidRPr="009B71B8">
        <w:rPr>
          <w:iCs/>
          <w:lang w:val="id-ID"/>
        </w:rPr>
        <w:t xml:space="preserve">WS berkisar 5.0 </w:t>
      </w:r>
      <w:r>
        <w:rPr>
          <w:iCs/>
          <w:lang w:val="id-ID"/>
        </w:rPr>
        <w:t>-</w:t>
      </w:r>
      <w:r w:rsidRPr="009B71B8">
        <w:rPr>
          <w:iCs/>
          <w:lang w:val="id-ID"/>
        </w:rPr>
        <w:t xml:space="preserve"> 8.28 m s</w:t>
      </w:r>
      <w:r w:rsidRPr="009B71B8">
        <w:rPr>
          <w:iCs/>
          <w:vertAlign w:val="superscript"/>
          <w:lang w:val="id-ID"/>
        </w:rPr>
        <w:t>–1</w:t>
      </w:r>
      <w:r>
        <w:rPr>
          <w:iCs/>
          <w:lang w:val="id-ID"/>
        </w:rPr>
        <w:t xml:space="preserve"> pembangkitan energi diharapkan dapat terjadi.</w:t>
      </w:r>
      <w:r w:rsidR="00F038F7">
        <w:rPr>
          <w:iCs/>
          <w:lang w:val="id-ID"/>
        </w:rPr>
        <w:t xml:space="preserve"> </w:t>
      </w:r>
      <w:r w:rsidR="004522AB" w:rsidRPr="004522AB">
        <w:rPr>
          <w:iCs/>
          <w:lang w:val="id-ID"/>
        </w:rPr>
        <w:t xml:space="preserve">Pengoperasian turbin pada </w:t>
      </w:r>
      <w:r w:rsidR="00727D81" w:rsidRPr="00727D81">
        <w:rPr>
          <w:i/>
          <w:iCs/>
          <w:lang w:val="id-ID"/>
        </w:rPr>
        <w:t>cut-in</w:t>
      </w:r>
      <w:r w:rsidR="00727D81">
        <w:rPr>
          <w:iCs/>
          <w:lang w:val="id-ID"/>
        </w:rPr>
        <w:t xml:space="preserve"> </w:t>
      </w:r>
      <w:r w:rsidR="004522AB" w:rsidRPr="004522AB">
        <w:rPr>
          <w:iCs/>
          <w:lang w:val="id-ID"/>
        </w:rPr>
        <w:t xml:space="preserve">WS yang rendah menurunkan perfoman akibat separator laminar dan gelembung separator laminar pada bilah turbin. </w:t>
      </w:r>
      <w:r w:rsidR="00F038F7">
        <w:rPr>
          <w:iCs/>
          <w:lang w:val="id-ID"/>
        </w:rPr>
        <w:t xml:space="preserve">Ini terjadi </w:t>
      </w:r>
      <w:r w:rsidR="004522AB" w:rsidRPr="004522AB">
        <w:rPr>
          <w:iCs/>
          <w:lang w:val="id-ID"/>
        </w:rPr>
        <w:t xml:space="preserve">karena bilangan Reynolds (Re) rendah akibat WS yang rendah dan </w:t>
      </w:r>
      <w:r w:rsidR="00ED0284">
        <w:rPr>
          <w:iCs/>
          <w:lang w:val="id-ID"/>
        </w:rPr>
        <w:t xml:space="preserve">kecilnya ukuran rotor. Diperlukan </w:t>
      </w:r>
      <w:r w:rsidR="004522AB" w:rsidRPr="004522AB">
        <w:rPr>
          <w:iCs/>
          <w:lang w:val="id-ID"/>
        </w:rPr>
        <w:t xml:space="preserve">airfoil </w:t>
      </w:r>
      <w:r w:rsidR="00ED0284">
        <w:rPr>
          <w:iCs/>
          <w:lang w:val="id-ID"/>
        </w:rPr>
        <w:t>d</w:t>
      </w:r>
      <w:r w:rsidR="002F152C">
        <w:rPr>
          <w:iCs/>
          <w:lang w:val="id-ID"/>
        </w:rPr>
        <w:t xml:space="preserve">engan desain khusus untuk beroperasi pada Re yang rendah </w:t>
      </w:r>
      <w:r w:rsidR="00ED0284">
        <w:rPr>
          <w:iCs/>
          <w:lang w:val="id-ID"/>
        </w:rPr>
        <w:t xml:space="preserve">sehingga </w:t>
      </w:r>
      <w:r w:rsidR="002F152C">
        <w:rPr>
          <w:iCs/>
          <w:lang w:val="id-ID"/>
        </w:rPr>
        <w:t xml:space="preserve">dapat menaikkan startup torsi </w:t>
      </w:r>
      <w:r w:rsidR="00ED0284">
        <w:rPr>
          <w:iCs/>
          <w:lang w:val="id-ID"/>
        </w:rPr>
        <w:t xml:space="preserve">dan </w:t>
      </w:r>
      <w:r w:rsidR="002F152C">
        <w:rPr>
          <w:iCs/>
          <w:lang w:val="id-ID"/>
        </w:rPr>
        <w:t xml:space="preserve">meningkatkan perfoman turbin. </w:t>
      </w:r>
      <w:r w:rsidR="00C54148">
        <w:rPr>
          <w:iCs/>
          <w:lang w:val="id-ID"/>
        </w:rPr>
        <w:t xml:space="preserve">Dengan ini turbin dapat dioperasikan pada </w:t>
      </w:r>
      <w:r w:rsidR="00C54148" w:rsidRPr="00C54148">
        <w:rPr>
          <w:i/>
          <w:iCs/>
          <w:lang w:val="id-ID"/>
        </w:rPr>
        <w:t>c</w:t>
      </w:r>
      <w:r w:rsidR="002F152C" w:rsidRPr="00C54148">
        <w:rPr>
          <w:i/>
          <w:iCs/>
          <w:lang w:val="id-ID"/>
        </w:rPr>
        <w:t>ut-in</w:t>
      </w:r>
      <w:r w:rsidR="002F152C">
        <w:rPr>
          <w:iCs/>
          <w:lang w:val="id-ID"/>
        </w:rPr>
        <w:t xml:space="preserve"> WS </w:t>
      </w:r>
      <w:r w:rsidR="00C54148">
        <w:rPr>
          <w:iCs/>
          <w:lang w:val="id-ID"/>
        </w:rPr>
        <w:t xml:space="preserve">berkisar  </w:t>
      </w:r>
      <w:r w:rsidR="002F152C">
        <w:rPr>
          <w:iCs/>
          <w:lang w:val="id-ID"/>
        </w:rPr>
        <w:t xml:space="preserve">2-3 </w:t>
      </w:r>
      <w:r w:rsidR="00672B64" w:rsidRPr="009B71B8">
        <w:rPr>
          <w:iCs/>
          <w:lang w:val="id-ID"/>
        </w:rPr>
        <w:t>m s</w:t>
      </w:r>
      <w:r w:rsidR="00672B64" w:rsidRPr="009B71B8">
        <w:rPr>
          <w:iCs/>
          <w:vertAlign w:val="superscript"/>
          <w:lang w:val="id-ID"/>
        </w:rPr>
        <w:t>–1</w:t>
      </w:r>
      <w:r w:rsidR="00672B64">
        <w:rPr>
          <w:iCs/>
          <w:lang w:val="id-ID"/>
        </w:rPr>
        <w:t xml:space="preserve"> </w:t>
      </w:r>
      <w:r w:rsidR="002F152C">
        <w:rPr>
          <w:iCs/>
          <w:lang w:val="id-ID"/>
        </w:rPr>
        <w:t>(</w:t>
      </w:r>
      <w:r w:rsidR="00B0087F" w:rsidRPr="00B0087F">
        <w:rPr>
          <w:iCs/>
          <w:lang w:val="id-ID"/>
        </w:rPr>
        <w:t>Singh</w:t>
      </w:r>
      <w:r w:rsidR="00B0087F">
        <w:rPr>
          <w:iCs/>
          <w:lang w:val="id-ID"/>
        </w:rPr>
        <w:t xml:space="preserve"> dan </w:t>
      </w:r>
      <w:r w:rsidR="00B0087F" w:rsidRPr="00B0087F">
        <w:rPr>
          <w:iCs/>
          <w:lang w:val="id-ID"/>
        </w:rPr>
        <w:t>Ahmed</w:t>
      </w:r>
      <w:r w:rsidR="002F152C">
        <w:rPr>
          <w:iCs/>
          <w:lang w:val="id-ID"/>
        </w:rPr>
        <w:t>, 2013).</w:t>
      </w:r>
    </w:p>
    <w:p w:rsidR="00677396" w:rsidRDefault="00677396" w:rsidP="00F2688A">
      <w:pPr>
        <w:spacing w:line="360" w:lineRule="auto"/>
        <w:ind w:firstLine="540"/>
        <w:jc w:val="both"/>
        <w:rPr>
          <w:lang w:val="id-ID"/>
        </w:rPr>
      </w:pPr>
      <w:r w:rsidRPr="009B71B8">
        <w:rPr>
          <w:lang w:val="id-ID"/>
        </w:rPr>
        <w:lastRenderedPageBreak/>
        <w:t>WS mudah dipengaruhi oleh hambatan dan topograpi, bervariasi dengan ketinggian sehingga WS dapat memiliki karakteristik yang random. Akibatnya reabilitas pembangkitan energi listrik sulit dipenuhi dan dibutuhkan sistem pengatur</w:t>
      </w:r>
      <w:r w:rsidR="007204D8">
        <w:rPr>
          <w:lang w:val="id-ID"/>
        </w:rPr>
        <w:t xml:space="preserve"> daya cadangan (Lie et al., 2009</w:t>
      </w:r>
      <w:r w:rsidRPr="009B71B8">
        <w:rPr>
          <w:lang w:val="id-ID"/>
        </w:rPr>
        <w:t>)</w:t>
      </w:r>
      <w:r w:rsidR="002E4D22">
        <w:rPr>
          <w:lang w:val="id-ID"/>
        </w:rPr>
        <w:t>.</w:t>
      </w:r>
    </w:p>
    <w:p w:rsidR="005004D1" w:rsidRDefault="00DD7FC9" w:rsidP="0073108F">
      <w:pPr>
        <w:spacing w:line="360" w:lineRule="auto"/>
        <w:ind w:firstLine="540"/>
        <w:jc w:val="both"/>
        <w:rPr>
          <w:lang w:val="id-ID"/>
        </w:rPr>
      </w:pPr>
      <w:r w:rsidRPr="009B71B8">
        <w:rPr>
          <w:lang w:val="id-ID"/>
        </w:rPr>
        <w:t>Seasonal variabiliti U</w:t>
      </w:r>
      <w:r w:rsidRPr="009B71B8">
        <w:rPr>
          <w:iCs/>
          <w:lang w:val="id-ID"/>
        </w:rPr>
        <w:t>–</w:t>
      </w:r>
      <w:r w:rsidR="005F148C">
        <w:rPr>
          <w:lang w:val="id-ID"/>
        </w:rPr>
        <w:t>WS ditunjukkan pada gambar 2</w:t>
      </w:r>
      <w:r w:rsidR="000E66A6" w:rsidRPr="005F148C">
        <w:rPr>
          <w:i/>
          <w:lang w:val="id-ID"/>
        </w:rPr>
        <w:t>a</w:t>
      </w:r>
      <w:r w:rsidR="000E66A6" w:rsidRPr="009B71B8">
        <w:rPr>
          <w:lang w:val="id-ID"/>
        </w:rPr>
        <w:t xml:space="preserve"> dan </w:t>
      </w:r>
      <w:r w:rsidR="000E66A6" w:rsidRPr="005F148C">
        <w:rPr>
          <w:i/>
          <w:lang w:val="id-ID"/>
        </w:rPr>
        <w:t>b</w:t>
      </w:r>
      <w:r w:rsidRPr="009B71B8">
        <w:rPr>
          <w:lang w:val="id-ID"/>
        </w:rPr>
        <w:t xml:space="preserve"> dibawah ini. </w:t>
      </w:r>
      <w:r w:rsidR="000A28A7" w:rsidRPr="009B71B8">
        <w:rPr>
          <w:lang w:val="id-ID"/>
        </w:rPr>
        <w:t>Pada gambar ter</w:t>
      </w:r>
      <w:r w:rsidRPr="009B71B8">
        <w:rPr>
          <w:lang w:val="id-ID"/>
        </w:rPr>
        <w:t xml:space="preserve">lihat karakteristik </w:t>
      </w:r>
      <w:r w:rsidR="000A28A7" w:rsidRPr="009B71B8">
        <w:rPr>
          <w:lang w:val="id-ID"/>
        </w:rPr>
        <w:t>U</w:t>
      </w:r>
      <w:r w:rsidR="000A28A7" w:rsidRPr="009B71B8">
        <w:rPr>
          <w:iCs/>
          <w:lang w:val="id-ID"/>
        </w:rPr>
        <w:t>–</w:t>
      </w:r>
      <w:r w:rsidR="000A28A7" w:rsidRPr="009B71B8">
        <w:rPr>
          <w:lang w:val="id-ID"/>
        </w:rPr>
        <w:t xml:space="preserve">WS </w:t>
      </w:r>
      <w:r w:rsidRPr="009B71B8">
        <w:rPr>
          <w:lang w:val="id-ID"/>
        </w:rPr>
        <w:t>belahan bumi utara-selatan</w:t>
      </w:r>
      <w:r w:rsidR="000A28A7" w:rsidRPr="009B71B8">
        <w:rPr>
          <w:lang w:val="id-ID"/>
        </w:rPr>
        <w:t xml:space="preserve"> jelas terlihat. Pola WD memotong pada bulan April dan Oktober.</w:t>
      </w:r>
      <w:r w:rsidR="0073108F" w:rsidRPr="009B71B8">
        <w:rPr>
          <w:lang w:val="id-ID"/>
        </w:rPr>
        <w:t xml:space="preserve"> </w:t>
      </w:r>
      <w:r w:rsidR="0073108F" w:rsidRPr="009B71B8">
        <w:rPr>
          <w:color w:val="000000"/>
          <w:lang w:val="id-ID"/>
        </w:rPr>
        <w:t xml:space="preserve">Di equator (EQ), tidak terlihat arah WD yang signifikan. </w:t>
      </w:r>
      <w:r w:rsidR="00A45BAC">
        <w:rPr>
          <w:color w:val="000000"/>
          <w:lang w:val="id-ID"/>
        </w:rPr>
        <w:t>Pada gambar 2</w:t>
      </w:r>
      <w:r w:rsidR="000E66A6" w:rsidRPr="00A45BAC">
        <w:rPr>
          <w:i/>
          <w:color w:val="000000"/>
          <w:lang w:val="id-ID"/>
        </w:rPr>
        <w:t>a</w:t>
      </w:r>
      <w:r w:rsidR="000E66A6" w:rsidRPr="009B71B8">
        <w:rPr>
          <w:color w:val="000000"/>
          <w:lang w:val="id-ID"/>
        </w:rPr>
        <w:t xml:space="preserve">, </w:t>
      </w:r>
      <w:r w:rsidR="000E66A6" w:rsidRPr="009B71B8">
        <w:rPr>
          <w:lang w:val="id-ID"/>
        </w:rPr>
        <w:t>p</w:t>
      </w:r>
      <w:r w:rsidR="0073108F" w:rsidRPr="009B71B8">
        <w:rPr>
          <w:lang w:val="id-ID"/>
        </w:rPr>
        <w:t xml:space="preserve">eningkatan derajat lintang diatas 20 derajat,  U-WS </w:t>
      </w:r>
      <w:r w:rsidR="00E571E2" w:rsidRPr="009B71B8">
        <w:rPr>
          <w:lang w:val="id-ID"/>
        </w:rPr>
        <w:t xml:space="preserve">pada bagian utara dan selatan </w:t>
      </w:r>
      <w:r w:rsidR="0073108F" w:rsidRPr="009B71B8">
        <w:rPr>
          <w:lang w:val="id-ID"/>
        </w:rPr>
        <w:t>mengarah ke barat</w:t>
      </w:r>
      <w:r w:rsidR="00E571E2" w:rsidRPr="009B71B8">
        <w:rPr>
          <w:lang w:val="id-ID"/>
        </w:rPr>
        <w:t xml:space="preserve"> dengan kecepatan 4</w:t>
      </w:r>
      <w:r w:rsidR="007204D8">
        <w:rPr>
          <w:lang w:val="id-ID"/>
        </w:rPr>
        <w:t>.0</w:t>
      </w:r>
      <w:r w:rsidR="00E571E2" w:rsidRPr="009B71B8">
        <w:rPr>
          <w:lang w:val="id-ID"/>
        </w:rPr>
        <w:t xml:space="preserve"> m s</w:t>
      </w:r>
      <w:r w:rsidR="00E571E2" w:rsidRPr="009B71B8">
        <w:rPr>
          <w:vertAlign w:val="superscript"/>
          <w:lang w:val="id-ID"/>
        </w:rPr>
        <w:t>-1</w:t>
      </w:r>
      <w:r w:rsidR="00E571E2" w:rsidRPr="009B71B8">
        <w:rPr>
          <w:lang w:val="id-ID"/>
        </w:rPr>
        <w:t xml:space="preserve"> sepanjang tahun. Penomena ini menunjukkan adanya angin pasat</w:t>
      </w:r>
      <w:r w:rsidR="000E66A6" w:rsidRPr="009B71B8">
        <w:rPr>
          <w:lang w:val="id-ID"/>
        </w:rPr>
        <w:t xml:space="preserve"> dari timur-utara dan timur-selatan</w:t>
      </w:r>
      <w:r w:rsidR="005004D1" w:rsidRPr="009B71B8">
        <w:rPr>
          <w:lang w:val="id-ID"/>
        </w:rPr>
        <w:t>.</w:t>
      </w:r>
      <w:r w:rsidR="00F8012D" w:rsidRPr="009B71B8">
        <w:rPr>
          <w:lang w:val="id-ID"/>
        </w:rPr>
        <w:t xml:space="preserve"> Kondisi permukaan air laut di daerah equator yang selalu hangat membuat tekanan atmosfir menjadi rendah, udara berpindah dari lintang tinggi bertekanan tinggi menuju equator. Bumi berotasi dari barat ke timur, udara berhembus dari timur</w:t>
      </w:r>
      <w:r w:rsidR="00046C25">
        <w:rPr>
          <w:lang w:val="id-ID"/>
        </w:rPr>
        <w:t xml:space="preserve"> membangkitkan angin pasat.</w:t>
      </w:r>
    </w:p>
    <w:p w:rsidR="00C864F8" w:rsidRDefault="00C864F8" w:rsidP="0073108F">
      <w:pPr>
        <w:spacing w:line="360" w:lineRule="auto"/>
        <w:ind w:firstLine="540"/>
        <w:jc w:val="both"/>
        <w:rPr>
          <w:lang w:val="id-ID"/>
        </w:rPr>
      </w:pPr>
    </w:p>
    <w:p w:rsidR="00C864F8" w:rsidRDefault="00C864F8" w:rsidP="00C864F8">
      <w:pPr>
        <w:spacing w:line="360" w:lineRule="auto"/>
        <w:jc w:val="center"/>
        <w:rPr>
          <w:lang w:val="id-ID"/>
        </w:rPr>
      </w:pPr>
      <w:r w:rsidRPr="00C864F8">
        <w:rPr>
          <w:noProof/>
        </w:rPr>
        <w:drawing>
          <wp:inline distT="0" distB="0" distL="0" distR="0">
            <wp:extent cx="3474720" cy="3151271"/>
            <wp:effectExtent l="19050" t="0" r="0" b="0"/>
            <wp:docPr id="2" name="Picture 14" descr="uws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s1.emf"/>
                    <pic:cNvPicPr/>
                  </pic:nvPicPr>
                  <pic:blipFill>
                    <a:blip r:embed="rId8" cstate="print"/>
                    <a:srcRect l="2673" t="2742" r="5205" b="356"/>
                    <a:stretch>
                      <a:fillRect/>
                    </a:stretch>
                  </pic:blipFill>
                  <pic:spPr>
                    <a:xfrm>
                      <a:off x="0" y="0"/>
                      <a:ext cx="3474720" cy="3151271"/>
                    </a:xfrm>
                    <a:prstGeom prst="rect">
                      <a:avLst/>
                    </a:prstGeom>
                  </pic:spPr>
                </pic:pic>
              </a:graphicData>
            </a:graphic>
          </wp:inline>
        </w:drawing>
      </w:r>
    </w:p>
    <w:p w:rsidR="00CE77FA" w:rsidRPr="009B71B8" w:rsidRDefault="00EA783D" w:rsidP="00EA783D">
      <w:pPr>
        <w:snapToGrid w:val="0"/>
        <w:spacing w:line="360" w:lineRule="auto"/>
        <w:jc w:val="center"/>
        <w:rPr>
          <w:lang w:val="id-ID"/>
        </w:rPr>
      </w:pPr>
      <w:r>
        <w:rPr>
          <w:lang w:val="id-ID"/>
        </w:rPr>
        <w:t>Gambar 2</w:t>
      </w:r>
      <w:r w:rsidR="00CE77FA" w:rsidRPr="00EA783D">
        <w:rPr>
          <w:i/>
          <w:lang w:val="id-ID"/>
        </w:rPr>
        <w:t>a</w:t>
      </w:r>
      <w:r w:rsidR="00CE77FA" w:rsidRPr="009B71B8">
        <w:rPr>
          <w:lang w:val="id-ID"/>
        </w:rPr>
        <w:t>.</w:t>
      </w:r>
    </w:p>
    <w:p w:rsidR="007221E1" w:rsidRDefault="00CE77FA" w:rsidP="00EA783D">
      <w:pPr>
        <w:spacing w:line="360" w:lineRule="auto"/>
        <w:jc w:val="both"/>
        <w:rPr>
          <w:lang w:val="id-ID"/>
        </w:rPr>
      </w:pPr>
      <w:r>
        <w:rPr>
          <w:lang w:val="id-ID"/>
        </w:rPr>
        <w:t xml:space="preserve">Zonal seasonal variabiliti </w:t>
      </w:r>
      <w:r w:rsidRPr="009B71B8">
        <w:rPr>
          <w:lang w:val="id-ID"/>
        </w:rPr>
        <w:t>U</w:t>
      </w:r>
      <w:r w:rsidRPr="009B71B8">
        <w:rPr>
          <w:iCs/>
          <w:lang w:val="id-ID"/>
        </w:rPr>
        <w:t>–</w:t>
      </w:r>
      <w:r w:rsidRPr="009B71B8">
        <w:rPr>
          <w:lang w:val="id-ID"/>
        </w:rPr>
        <w:t>WS (m s</w:t>
      </w:r>
      <w:r w:rsidRPr="009B71B8">
        <w:rPr>
          <w:iCs/>
          <w:vertAlign w:val="superscript"/>
          <w:lang w:val="id-ID"/>
        </w:rPr>
        <w:t>–</w:t>
      </w:r>
      <w:r w:rsidRPr="009B71B8">
        <w:rPr>
          <w:vertAlign w:val="superscript"/>
          <w:lang w:val="id-ID"/>
        </w:rPr>
        <w:t>1</w:t>
      </w:r>
      <w:r>
        <w:rPr>
          <w:lang w:val="id-ID"/>
        </w:rPr>
        <w:t>). WD menuju timur (positip) dan menuju barat (negatip)</w:t>
      </w:r>
      <w:r w:rsidRPr="009B71B8">
        <w:rPr>
          <w:lang w:val="id-ID"/>
        </w:rPr>
        <w:t xml:space="preserve">. </w:t>
      </w:r>
      <w:r>
        <w:rPr>
          <w:lang w:val="id-ID"/>
        </w:rPr>
        <w:t xml:space="preserve">Angin pasat dari timur terlihat pada lintang </w:t>
      </w:r>
      <w:r w:rsidRPr="009B71B8">
        <w:rPr>
          <w:lang w:val="id-ID"/>
        </w:rPr>
        <w:t>15</w:t>
      </w:r>
      <w:r w:rsidRPr="009B71B8">
        <w:rPr>
          <w:vertAlign w:val="superscript"/>
          <w:lang w:val="id-ID"/>
        </w:rPr>
        <w:t>o</w:t>
      </w:r>
      <w:r w:rsidRPr="009B71B8">
        <w:rPr>
          <w:lang w:val="id-ID"/>
        </w:rPr>
        <w:t>-20</w:t>
      </w:r>
      <w:r w:rsidRPr="009B71B8">
        <w:rPr>
          <w:vertAlign w:val="superscript"/>
          <w:lang w:val="id-ID"/>
        </w:rPr>
        <w:t>o</w:t>
      </w:r>
      <w:r w:rsidR="00DA3246">
        <w:rPr>
          <w:lang w:val="id-ID"/>
        </w:rPr>
        <w:t>. Didaerah equator WS sangat rendah dan WD stabil.</w:t>
      </w:r>
    </w:p>
    <w:p w:rsidR="004973F0" w:rsidRDefault="004973F0" w:rsidP="00EA783D">
      <w:pPr>
        <w:spacing w:line="360" w:lineRule="auto"/>
        <w:jc w:val="both"/>
        <w:rPr>
          <w:lang w:val="id-ID"/>
        </w:rPr>
      </w:pPr>
    </w:p>
    <w:p w:rsidR="00FB7195" w:rsidRPr="00E54775" w:rsidRDefault="008C4596" w:rsidP="00E54775">
      <w:pPr>
        <w:spacing w:line="360" w:lineRule="auto"/>
        <w:jc w:val="both"/>
        <w:rPr>
          <w:lang w:val="id-ID"/>
        </w:rPr>
      </w:pPr>
      <w:r>
        <w:rPr>
          <w:lang w:val="id-ID"/>
        </w:rPr>
        <w:lastRenderedPageBreak/>
        <w:t>Dilihat dari karakteristik U-WS diatas perencanaan posisi turbin angin di garis katulistiwa tidak tepat. Kec</w:t>
      </w:r>
      <w:r w:rsidR="00E433BA">
        <w:rPr>
          <w:lang w:val="id-ID"/>
        </w:rPr>
        <w:t>epatan U-WS sangat rendah berkis</w:t>
      </w:r>
      <w:r>
        <w:rPr>
          <w:lang w:val="id-ID"/>
        </w:rPr>
        <w:t>ar antara 2</w:t>
      </w:r>
      <w:r w:rsidR="00E27088">
        <w:rPr>
          <w:lang w:val="id-ID"/>
        </w:rPr>
        <w:t>.0</w:t>
      </w:r>
      <w:r>
        <w:rPr>
          <w:lang w:val="id-ID"/>
        </w:rPr>
        <w:t>-3</w:t>
      </w:r>
      <w:r w:rsidR="00E27088">
        <w:rPr>
          <w:lang w:val="id-ID"/>
        </w:rPr>
        <w:t>.0</w:t>
      </w:r>
      <w:r>
        <w:rPr>
          <w:lang w:val="id-ID"/>
        </w:rPr>
        <w:t xml:space="preserve"> m s</w:t>
      </w:r>
      <w:r w:rsidRPr="008C4596">
        <w:rPr>
          <w:vertAlign w:val="superscript"/>
          <w:lang w:val="id-ID"/>
        </w:rPr>
        <w:t>-1</w:t>
      </w:r>
      <w:r w:rsidR="00E433BA">
        <w:rPr>
          <w:lang w:val="id-ID"/>
        </w:rPr>
        <w:t xml:space="preserve">. </w:t>
      </w:r>
      <w:r w:rsidR="00E433BA" w:rsidRPr="00E433BA">
        <w:rPr>
          <w:i/>
          <w:lang w:val="id-ID"/>
        </w:rPr>
        <w:t>Cut-in</w:t>
      </w:r>
      <w:r w:rsidR="00E433BA">
        <w:rPr>
          <w:lang w:val="id-ID"/>
        </w:rPr>
        <w:t xml:space="preserve"> WS minimal sulit didapatkan, walaupun mungkin terjadi anomali WS yang tinggi dan tidak terjadi perubahan WD yang siginifikan. Pada lintang tinggi berkisar </w:t>
      </w:r>
      <w:r w:rsidR="00E433BA" w:rsidRPr="009B71B8">
        <w:rPr>
          <w:lang w:val="id-ID"/>
        </w:rPr>
        <w:t>15</w:t>
      </w:r>
      <w:r w:rsidR="00E433BA" w:rsidRPr="009B71B8">
        <w:rPr>
          <w:vertAlign w:val="superscript"/>
          <w:lang w:val="id-ID"/>
        </w:rPr>
        <w:t>o</w:t>
      </w:r>
      <w:r w:rsidR="00E433BA" w:rsidRPr="009B71B8">
        <w:rPr>
          <w:lang w:val="id-ID"/>
        </w:rPr>
        <w:t xml:space="preserve"> -20</w:t>
      </w:r>
      <w:r w:rsidR="00E433BA" w:rsidRPr="009B71B8">
        <w:rPr>
          <w:vertAlign w:val="superscript"/>
          <w:lang w:val="id-ID"/>
        </w:rPr>
        <w:t>o</w:t>
      </w:r>
      <w:r w:rsidR="005A3B3A">
        <w:rPr>
          <w:lang w:val="id-ID"/>
        </w:rPr>
        <w:t>, WD didominasi oleh arah angin pasat atau angin menuju ke barat</w:t>
      </w:r>
      <w:r w:rsidR="00933131">
        <w:rPr>
          <w:lang w:val="id-ID"/>
        </w:rPr>
        <w:t xml:space="preserve"> atau </w:t>
      </w:r>
      <w:r w:rsidR="00933131" w:rsidRPr="00933131">
        <w:rPr>
          <w:i/>
          <w:lang w:val="id-ID"/>
        </w:rPr>
        <w:t>westerlies winds</w:t>
      </w:r>
      <w:r w:rsidR="00D00569">
        <w:rPr>
          <w:lang w:val="id-ID"/>
        </w:rPr>
        <w:t xml:space="preserve"> (Hansen et al., 2012</w:t>
      </w:r>
      <w:r w:rsidR="00933131">
        <w:rPr>
          <w:lang w:val="id-ID"/>
        </w:rPr>
        <w:t>)</w:t>
      </w:r>
      <w:r w:rsidR="005A3B3A">
        <w:rPr>
          <w:lang w:val="id-ID"/>
        </w:rPr>
        <w:t>. Grid instalasi turbin angin dapat diposisikan seca</w:t>
      </w:r>
      <w:r w:rsidR="00B16E47">
        <w:rPr>
          <w:lang w:val="id-ID"/>
        </w:rPr>
        <w:t>ra general bilah turbin mengarah</w:t>
      </w:r>
      <w:r w:rsidR="005A3B3A">
        <w:rPr>
          <w:lang w:val="id-ID"/>
        </w:rPr>
        <w:t xml:space="preserve"> ke timur.</w:t>
      </w:r>
      <w:r w:rsidR="00F835B9">
        <w:rPr>
          <w:lang w:val="id-ID"/>
        </w:rPr>
        <w:t xml:space="preserve"> Pada turbin angin terdapat </w:t>
      </w:r>
      <w:r w:rsidR="00F835B9">
        <w:rPr>
          <w:i/>
          <w:lang w:val="id-ID"/>
        </w:rPr>
        <w:t>y</w:t>
      </w:r>
      <w:r w:rsidR="00F835B9" w:rsidRPr="00F835B9">
        <w:rPr>
          <w:i/>
          <w:lang w:val="id-ID"/>
        </w:rPr>
        <w:t>awing</w:t>
      </w:r>
      <w:r w:rsidR="00F835B9">
        <w:rPr>
          <w:lang w:val="id-ID"/>
        </w:rPr>
        <w:t xml:space="preserve"> mekanisme yang memutar turbin sehingga bilah dapat mengikuti arah angin</w:t>
      </w:r>
      <w:r w:rsidR="00901005">
        <w:rPr>
          <w:lang w:val="id-ID"/>
        </w:rPr>
        <w:t xml:space="preserve"> dan </w:t>
      </w:r>
      <w:r w:rsidR="00901005" w:rsidRPr="00027483">
        <w:rPr>
          <w:i/>
          <w:lang w:val="id-ID"/>
        </w:rPr>
        <w:t>tilting</w:t>
      </w:r>
      <w:r w:rsidR="00901005">
        <w:rPr>
          <w:lang w:val="id-ID"/>
        </w:rPr>
        <w:t xml:space="preserve"> mekanisme yang memutar </w:t>
      </w:r>
      <w:r w:rsidR="00DB27B3">
        <w:rPr>
          <w:lang w:val="id-ID"/>
        </w:rPr>
        <w:t xml:space="preserve">sudut </w:t>
      </w:r>
      <w:r w:rsidR="00901005">
        <w:rPr>
          <w:lang w:val="id-ID"/>
        </w:rPr>
        <w:t>bilah sehingga tetap optim</w:t>
      </w:r>
      <w:r w:rsidR="00E54775">
        <w:rPr>
          <w:lang w:val="id-ID"/>
        </w:rPr>
        <w:t>al pada kecepatan angin relatip (</w:t>
      </w:r>
      <w:r w:rsidR="00FB7195" w:rsidRPr="00C93FE0">
        <w:rPr>
          <w:noProof/>
          <w:lang w:val="id-ID"/>
        </w:rPr>
        <w:t>Doolan</w:t>
      </w:r>
      <w:r w:rsidR="00D409D8">
        <w:rPr>
          <w:lang w:val="id-ID"/>
        </w:rPr>
        <w:t xml:space="preserve">, </w:t>
      </w:r>
      <w:r w:rsidR="00D409D8" w:rsidRPr="00D82BE8">
        <w:rPr>
          <w:noProof/>
          <w:lang w:val="id-ID"/>
        </w:rPr>
        <w:t>Moreau</w:t>
      </w:r>
      <w:r w:rsidR="00D409D8">
        <w:rPr>
          <w:lang w:val="id-ID"/>
        </w:rPr>
        <w:t xml:space="preserve"> dan </w:t>
      </w:r>
      <w:r w:rsidR="00D409D8" w:rsidRPr="00D82BE8">
        <w:rPr>
          <w:noProof/>
          <w:lang w:val="id-ID"/>
        </w:rPr>
        <w:t>Brooks</w:t>
      </w:r>
      <w:r w:rsidR="00FB7195">
        <w:rPr>
          <w:lang w:val="id-ID"/>
        </w:rPr>
        <w:t>, 2012</w:t>
      </w:r>
      <w:r w:rsidR="00E54775">
        <w:rPr>
          <w:lang w:val="id-ID"/>
        </w:rPr>
        <w:t xml:space="preserve">; </w:t>
      </w:r>
      <w:r w:rsidR="00FB7195" w:rsidRPr="00FB7195">
        <w:rPr>
          <w:noProof/>
          <w:lang w:val="id-ID"/>
        </w:rPr>
        <w:t>Schubel</w:t>
      </w:r>
      <w:r w:rsidR="00FB7195" w:rsidRPr="00FB7195">
        <w:rPr>
          <w:lang w:val="id-ID"/>
        </w:rPr>
        <w:t xml:space="preserve"> </w:t>
      </w:r>
      <w:r w:rsidR="001C78FF">
        <w:rPr>
          <w:lang w:val="id-ID"/>
        </w:rPr>
        <w:t xml:space="preserve">dan </w:t>
      </w:r>
      <w:r w:rsidR="001C78FF" w:rsidRPr="00A64775">
        <w:rPr>
          <w:noProof/>
          <w:lang w:val="id-ID"/>
        </w:rPr>
        <w:t>Crossley</w:t>
      </w:r>
      <w:r w:rsidR="00FB7195">
        <w:rPr>
          <w:lang w:val="id-ID"/>
        </w:rPr>
        <w:t>, 2012</w:t>
      </w:r>
      <w:r w:rsidR="00E54775">
        <w:rPr>
          <w:lang w:val="id-ID"/>
        </w:rPr>
        <w:t>)</w:t>
      </w:r>
    </w:p>
    <w:p w:rsidR="00884297" w:rsidRPr="009B71B8" w:rsidRDefault="00465B8D" w:rsidP="00D15D8B">
      <w:pPr>
        <w:spacing w:line="360" w:lineRule="auto"/>
        <w:ind w:firstLine="540"/>
        <w:jc w:val="both"/>
        <w:rPr>
          <w:lang w:val="id-ID"/>
        </w:rPr>
      </w:pPr>
      <w:r>
        <w:rPr>
          <w:lang w:val="id-ID"/>
        </w:rPr>
        <w:t>Sedangkan gambar 2</w:t>
      </w:r>
      <w:r w:rsidR="00F30DA8" w:rsidRPr="00465B8D">
        <w:rPr>
          <w:i/>
          <w:lang w:val="id-ID"/>
        </w:rPr>
        <w:t>b</w:t>
      </w:r>
      <w:r w:rsidR="00F30DA8">
        <w:rPr>
          <w:lang w:val="id-ID"/>
        </w:rPr>
        <w:t xml:space="preserve"> menunjukkan </w:t>
      </w:r>
      <w:r w:rsidR="009F5605">
        <w:rPr>
          <w:lang w:val="id-ID"/>
        </w:rPr>
        <w:t>karakteristik U-WS</w:t>
      </w:r>
      <w:r w:rsidR="00B44566">
        <w:rPr>
          <w:lang w:val="id-ID"/>
        </w:rPr>
        <w:t xml:space="preserve"> untuk posisi lintang kurang dari 10 derajat. Terlihat </w:t>
      </w:r>
      <w:r w:rsidR="00884297" w:rsidRPr="009B71B8">
        <w:rPr>
          <w:lang w:val="id-ID"/>
        </w:rPr>
        <w:t xml:space="preserve">U-WS </w:t>
      </w:r>
      <w:r w:rsidR="00B44566">
        <w:rPr>
          <w:lang w:val="id-ID"/>
        </w:rPr>
        <w:t>lebih jelas memperlihatkan seasonal variabiliti</w:t>
      </w:r>
      <w:r w:rsidR="00F55C10">
        <w:rPr>
          <w:lang w:val="id-ID"/>
        </w:rPr>
        <w:t xml:space="preserve"> mengikuti karakteristik belahan bumi utara-selatan.</w:t>
      </w:r>
      <w:r w:rsidR="0026703C">
        <w:rPr>
          <w:lang w:val="id-ID"/>
        </w:rPr>
        <w:t xml:space="preserve"> Intensitas dan arah timur-barat angin berubah menurut musim.</w:t>
      </w:r>
      <w:r w:rsidR="00B4176E">
        <w:rPr>
          <w:lang w:val="id-ID"/>
        </w:rPr>
        <w:t xml:space="preserve"> Namun, WD rata-rata tetap mengikuti pola angin pasat yaitu menuju barat. Pola perubahan arah timur-barat musiman ini menunjukkan sistem </w:t>
      </w:r>
      <w:r w:rsidR="00D15D8B">
        <w:rPr>
          <w:lang w:val="id-ID"/>
        </w:rPr>
        <w:t xml:space="preserve">angin </w:t>
      </w:r>
      <w:r w:rsidR="00B4176E">
        <w:rPr>
          <w:lang w:val="id-ID"/>
        </w:rPr>
        <w:t>muson di Indonesia.</w:t>
      </w:r>
    </w:p>
    <w:p w:rsidR="00884297" w:rsidRPr="009B71B8" w:rsidRDefault="00D15D8B" w:rsidP="00D15D8B">
      <w:pPr>
        <w:spacing w:line="360" w:lineRule="auto"/>
        <w:jc w:val="center"/>
        <w:rPr>
          <w:lang w:val="id-ID"/>
        </w:rPr>
      </w:pPr>
      <w:r w:rsidRPr="00D15D8B">
        <w:rPr>
          <w:noProof/>
        </w:rPr>
        <w:drawing>
          <wp:inline distT="0" distB="0" distL="0" distR="0">
            <wp:extent cx="3476709" cy="3154680"/>
            <wp:effectExtent l="19050" t="0" r="9441" b="0"/>
            <wp:docPr id="4" name="Picture 16" descr="mwsu1.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wsu1.emf"/>
                    <pic:cNvPicPr/>
                  </pic:nvPicPr>
                  <pic:blipFill>
                    <a:blip r:embed="rId9" cstate="print"/>
                    <a:srcRect l="2240" t="2484" r="3896" b="1242"/>
                    <a:stretch>
                      <a:fillRect/>
                    </a:stretch>
                  </pic:blipFill>
                  <pic:spPr>
                    <a:xfrm>
                      <a:off x="0" y="0"/>
                      <a:ext cx="3476709" cy="3154680"/>
                    </a:xfrm>
                    <a:prstGeom prst="rect">
                      <a:avLst/>
                    </a:prstGeom>
                  </pic:spPr>
                </pic:pic>
              </a:graphicData>
            </a:graphic>
          </wp:inline>
        </w:drawing>
      </w:r>
    </w:p>
    <w:p w:rsidR="000D241A" w:rsidRPr="009B71B8" w:rsidRDefault="000D241A" w:rsidP="009B6460">
      <w:pPr>
        <w:snapToGrid w:val="0"/>
        <w:spacing w:line="360" w:lineRule="auto"/>
        <w:jc w:val="center"/>
        <w:rPr>
          <w:lang w:val="id-ID"/>
        </w:rPr>
      </w:pPr>
      <w:r w:rsidRPr="009B71B8">
        <w:rPr>
          <w:lang w:val="id-ID"/>
        </w:rPr>
        <w:t xml:space="preserve">Gambar </w:t>
      </w:r>
      <w:r w:rsidR="009B6460">
        <w:rPr>
          <w:lang w:val="id-ID"/>
        </w:rPr>
        <w:t>2</w:t>
      </w:r>
      <w:r w:rsidRPr="009B6460">
        <w:rPr>
          <w:i/>
          <w:lang w:val="id-ID"/>
        </w:rPr>
        <w:t>b</w:t>
      </w:r>
      <w:r w:rsidRPr="009B71B8">
        <w:rPr>
          <w:lang w:val="id-ID"/>
        </w:rPr>
        <w:t>.</w:t>
      </w:r>
    </w:p>
    <w:p w:rsidR="00856CEA" w:rsidRDefault="000D241A" w:rsidP="009B6460">
      <w:pPr>
        <w:spacing w:line="360" w:lineRule="auto"/>
        <w:jc w:val="both"/>
        <w:rPr>
          <w:lang w:val="id-ID"/>
        </w:rPr>
      </w:pPr>
      <w:r>
        <w:rPr>
          <w:lang w:val="id-ID"/>
        </w:rPr>
        <w:t xml:space="preserve">Zonal seasonal variabiliti </w:t>
      </w:r>
      <w:r w:rsidRPr="009B71B8">
        <w:rPr>
          <w:lang w:val="id-ID"/>
        </w:rPr>
        <w:t>U</w:t>
      </w:r>
      <w:r w:rsidRPr="009B71B8">
        <w:rPr>
          <w:iCs/>
          <w:lang w:val="id-ID"/>
        </w:rPr>
        <w:t>–</w:t>
      </w:r>
      <w:r w:rsidRPr="009B71B8">
        <w:rPr>
          <w:lang w:val="id-ID"/>
        </w:rPr>
        <w:t>WS (m s</w:t>
      </w:r>
      <w:r w:rsidRPr="009B71B8">
        <w:rPr>
          <w:iCs/>
          <w:vertAlign w:val="superscript"/>
          <w:lang w:val="id-ID"/>
        </w:rPr>
        <w:t>–</w:t>
      </w:r>
      <w:r w:rsidRPr="009B71B8">
        <w:rPr>
          <w:vertAlign w:val="superscript"/>
          <w:lang w:val="id-ID"/>
        </w:rPr>
        <w:t>1</w:t>
      </w:r>
      <w:r>
        <w:rPr>
          <w:lang w:val="id-ID"/>
        </w:rPr>
        <w:t>). WD menuju timur (positip) dan menuju barat (negatip)</w:t>
      </w:r>
      <w:r w:rsidRPr="009B71B8">
        <w:rPr>
          <w:lang w:val="id-ID"/>
        </w:rPr>
        <w:t>.</w:t>
      </w:r>
      <w:r>
        <w:rPr>
          <w:lang w:val="id-ID"/>
        </w:rPr>
        <w:t xml:space="preserve"> Perubahan arah angin musiman atau angin muson Indonesia pada derajat lintang </w:t>
      </w:r>
      <w:r w:rsidR="00856CEA" w:rsidRPr="009B71B8">
        <w:rPr>
          <w:lang w:val="id-ID"/>
        </w:rPr>
        <w:t>5</w:t>
      </w:r>
      <w:r w:rsidRPr="009B71B8">
        <w:rPr>
          <w:vertAlign w:val="superscript"/>
          <w:lang w:val="id-ID"/>
        </w:rPr>
        <w:t>o</w:t>
      </w:r>
      <w:r w:rsidR="00856CEA" w:rsidRPr="009B71B8">
        <w:rPr>
          <w:lang w:val="id-ID"/>
        </w:rPr>
        <w:t>-10</w:t>
      </w:r>
      <w:r w:rsidR="00856CEA" w:rsidRPr="009B71B8">
        <w:rPr>
          <w:vertAlign w:val="superscript"/>
          <w:lang w:val="id-ID"/>
        </w:rPr>
        <w:t>o</w:t>
      </w:r>
      <w:r w:rsidR="00856CEA" w:rsidRPr="009B71B8">
        <w:rPr>
          <w:lang w:val="id-ID"/>
        </w:rPr>
        <w:t xml:space="preserve">. </w:t>
      </w:r>
    </w:p>
    <w:p w:rsidR="00D8793E" w:rsidRDefault="005E4D8D" w:rsidP="00457CF9">
      <w:pPr>
        <w:spacing w:line="360" w:lineRule="auto"/>
        <w:ind w:firstLine="540"/>
        <w:jc w:val="both"/>
        <w:rPr>
          <w:lang w:val="id-ID"/>
        </w:rPr>
      </w:pPr>
      <w:r>
        <w:rPr>
          <w:lang w:val="id-ID"/>
        </w:rPr>
        <w:lastRenderedPageBreak/>
        <w:t>Dengan karakteristik angin yang berubah-ubah mengikuti musim</w:t>
      </w:r>
      <w:r w:rsidR="00FB0AA3">
        <w:rPr>
          <w:lang w:val="id-ID"/>
        </w:rPr>
        <w:t xml:space="preserve">, </w:t>
      </w:r>
      <w:r w:rsidR="00BF55B1">
        <w:rPr>
          <w:lang w:val="id-ID"/>
        </w:rPr>
        <w:t xml:space="preserve">stabilitas pembangkitan </w:t>
      </w:r>
      <w:r w:rsidR="00FB0AA3">
        <w:rPr>
          <w:lang w:val="id-ID"/>
        </w:rPr>
        <w:t xml:space="preserve">menjadi </w:t>
      </w:r>
      <w:r w:rsidR="00BF55B1">
        <w:rPr>
          <w:lang w:val="id-ID"/>
        </w:rPr>
        <w:t>sangat tergantung musim. Bulan-bulan transisi angin muson Maret-Mei dan September-November</w:t>
      </w:r>
      <w:r w:rsidR="00244605">
        <w:rPr>
          <w:lang w:val="id-ID"/>
        </w:rPr>
        <w:t xml:space="preserve"> dimana WS paling rendah dbutuhkan sistem cadangan daya dari sistem pembangkitan yang lain</w:t>
      </w:r>
      <w:r w:rsidR="009E5A8A">
        <w:rPr>
          <w:lang w:val="id-ID"/>
        </w:rPr>
        <w:t xml:space="preserve"> atau </w:t>
      </w:r>
      <w:r w:rsidR="009E5A8A" w:rsidRPr="009E5A8A">
        <w:rPr>
          <w:i/>
          <w:lang w:val="id-ID"/>
        </w:rPr>
        <w:t>hybrid</w:t>
      </w:r>
      <w:r w:rsidR="00244605">
        <w:rPr>
          <w:lang w:val="id-ID"/>
        </w:rPr>
        <w:t>.</w:t>
      </w:r>
      <w:r w:rsidR="003B235F">
        <w:rPr>
          <w:lang w:val="id-ID"/>
        </w:rPr>
        <w:t xml:space="preserve"> Perubahan WD yang signifikan akibat ang</w:t>
      </w:r>
      <w:r w:rsidR="00A67310">
        <w:rPr>
          <w:lang w:val="id-ID"/>
        </w:rPr>
        <w:t>in muson timur/barat berimplifik</w:t>
      </w:r>
      <w:r w:rsidR="003B235F">
        <w:rPr>
          <w:lang w:val="id-ID"/>
        </w:rPr>
        <w:t xml:space="preserve">asi </w:t>
      </w:r>
      <w:r w:rsidR="009470A9">
        <w:rPr>
          <w:lang w:val="id-ID"/>
        </w:rPr>
        <w:t xml:space="preserve">terhadap perawatan mekanik yang bergerak seperti mekanis </w:t>
      </w:r>
      <w:r w:rsidR="009470A9" w:rsidRPr="009470A9">
        <w:rPr>
          <w:i/>
          <w:lang w:val="id-ID"/>
        </w:rPr>
        <w:t>gearbox</w:t>
      </w:r>
      <w:r w:rsidR="009470A9">
        <w:rPr>
          <w:lang w:val="id-ID"/>
        </w:rPr>
        <w:t xml:space="preserve">, </w:t>
      </w:r>
      <w:r w:rsidR="009470A9" w:rsidRPr="009470A9">
        <w:rPr>
          <w:i/>
          <w:lang w:val="id-ID"/>
        </w:rPr>
        <w:t>tilting</w:t>
      </w:r>
      <w:r w:rsidR="009470A9">
        <w:rPr>
          <w:lang w:val="id-ID"/>
        </w:rPr>
        <w:t xml:space="preserve"> dan </w:t>
      </w:r>
      <w:r w:rsidR="009470A9" w:rsidRPr="009470A9">
        <w:rPr>
          <w:i/>
          <w:lang w:val="id-ID"/>
        </w:rPr>
        <w:t>yawing</w:t>
      </w:r>
      <w:r w:rsidR="009470A9">
        <w:rPr>
          <w:lang w:val="id-ID"/>
        </w:rPr>
        <w:t>.</w:t>
      </w:r>
      <w:r w:rsidR="00457CF9">
        <w:rPr>
          <w:lang w:val="id-ID"/>
        </w:rPr>
        <w:t xml:space="preserve"> Beberapa laporan akibat permasalahan pada bilah dan </w:t>
      </w:r>
      <w:r w:rsidR="00457CF9" w:rsidRPr="00457CF9">
        <w:rPr>
          <w:i/>
          <w:lang w:val="id-ID"/>
        </w:rPr>
        <w:t>gearbox</w:t>
      </w:r>
      <w:r w:rsidR="00457CF9">
        <w:rPr>
          <w:lang w:val="id-ID"/>
        </w:rPr>
        <w:t xml:space="preserve"> penyebab utama sistem </w:t>
      </w:r>
      <w:r w:rsidR="00457CF9" w:rsidRPr="00457CF9">
        <w:rPr>
          <w:i/>
          <w:lang w:val="id-ID"/>
        </w:rPr>
        <w:t>downtime</w:t>
      </w:r>
      <w:r w:rsidR="00457CF9">
        <w:rPr>
          <w:lang w:val="id-ID"/>
        </w:rPr>
        <w:t xml:space="preserve">. Turbin yang baru dan besar malah cenderung lebih sering </w:t>
      </w:r>
      <w:r w:rsidR="00457CF9" w:rsidRPr="00A67310">
        <w:rPr>
          <w:i/>
          <w:lang w:val="id-ID"/>
        </w:rPr>
        <w:t>downtime</w:t>
      </w:r>
      <w:r w:rsidR="00457CF9">
        <w:rPr>
          <w:lang w:val="id-ID"/>
        </w:rPr>
        <w:t xml:space="preserve">, untuk menjaga reabilitas pembangkitan kebutuhan akan monitor dan perawatan menjadi tinggi </w:t>
      </w:r>
      <w:r w:rsidR="00D8793E">
        <w:rPr>
          <w:lang w:val="id-ID"/>
        </w:rPr>
        <w:t>(</w:t>
      </w:r>
      <w:r w:rsidR="00D8793E" w:rsidRPr="00D8793E">
        <w:rPr>
          <w:noProof/>
          <w:lang w:val="id-ID"/>
        </w:rPr>
        <w:t>Pérez</w:t>
      </w:r>
      <w:r w:rsidR="00D8793E">
        <w:rPr>
          <w:noProof/>
          <w:lang w:val="id-ID"/>
        </w:rPr>
        <w:t xml:space="preserve"> et al., 2013)</w:t>
      </w:r>
      <w:r w:rsidR="00D8793E" w:rsidRPr="00D8793E">
        <w:rPr>
          <w:lang w:val="id-ID"/>
        </w:rPr>
        <w:t>.</w:t>
      </w:r>
    </w:p>
    <w:p w:rsidR="008917CC" w:rsidRDefault="00DA7C3A" w:rsidP="006F73B2">
      <w:pPr>
        <w:spacing w:line="360" w:lineRule="auto"/>
        <w:ind w:firstLine="540"/>
        <w:jc w:val="both"/>
        <w:rPr>
          <w:lang w:val="id-ID"/>
        </w:rPr>
      </w:pPr>
      <w:r>
        <w:rPr>
          <w:lang w:val="id-ID"/>
        </w:rPr>
        <w:t xml:space="preserve">Besarnya konversi energi kinetik bilah turbin dibatasi </w:t>
      </w:r>
      <w:r w:rsidR="0085249D">
        <w:rPr>
          <w:lang w:val="id-ID"/>
        </w:rPr>
        <w:t>adanya</w:t>
      </w:r>
      <w:r>
        <w:rPr>
          <w:lang w:val="id-ID"/>
        </w:rPr>
        <w:t xml:space="preserve"> daya mekanis </w:t>
      </w:r>
      <w:r w:rsidRPr="00DD41A1">
        <w:rPr>
          <w:i/>
          <w:lang w:val="id-ID"/>
        </w:rPr>
        <w:t>downstream</w:t>
      </w:r>
      <w:r>
        <w:rPr>
          <w:lang w:val="id-ID"/>
        </w:rPr>
        <w:t xml:space="preserve"> atau aliran </w:t>
      </w:r>
      <w:r w:rsidR="00DD41A1">
        <w:rPr>
          <w:lang w:val="id-ID"/>
        </w:rPr>
        <w:t xml:space="preserve">angin setelah melewati bilah. Daya ini mengurangi </w:t>
      </w:r>
      <w:r w:rsidR="00864D52">
        <w:rPr>
          <w:lang w:val="id-ID"/>
        </w:rPr>
        <w:t xml:space="preserve">konversi </w:t>
      </w:r>
      <w:r w:rsidR="00603279">
        <w:rPr>
          <w:lang w:val="id-ID"/>
        </w:rPr>
        <w:t xml:space="preserve">koefisien </w:t>
      </w:r>
      <w:r w:rsidR="00DD41A1">
        <w:rPr>
          <w:lang w:val="id-ID"/>
        </w:rPr>
        <w:t>daya (C</w:t>
      </w:r>
      <w:r w:rsidR="00DD41A1" w:rsidRPr="00603279">
        <w:rPr>
          <w:vertAlign w:val="subscript"/>
          <w:lang w:val="id-ID"/>
        </w:rPr>
        <w:t>p</w:t>
      </w:r>
      <w:r w:rsidR="00DD41A1">
        <w:rPr>
          <w:lang w:val="id-ID"/>
        </w:rPr>
        <w:t xml:space="preserve">) turbin hanya menjadi sebesar 59.3% atau disebut </w:t>
      </w:r>
      <w:r w:rsidR="008917CC">
        <w:rPr>
          <w:lang w:val="id-ID"/>
        </w:rPr>
        <w:t>Betz’s</w:t>
      </w:r>
      <w:r w:rsidR="00DD41A1">
        <w:rPr>
          <w:lang w:val="id-ID"/>
        </w:rPr>
        <w:t xml:space="preserve"> limit</w:t>
      </w:r>
      <w:r w:rsidR="00D6495F">
        <w:rPr>
          <w:lang w:val="id-ID"/>
        </w:rPr>
        <w:t xml:space="preserve"> (</w:t>
      </w:r>
      <w:r w:rsidR="00D6495F" w:rsidRPr="00D6495F">
        <w:rPr>
          <w:lang w:val="id-ID"/>
        </w:rPr>
        <w:t>Betz</w:t>
      </w:r>
      <w:r w:rsidR="00D6495F">
        <w:rPr>
          <w:lang w:val="id-ID"/>
        </w:rPr>
        <w:t xml:space="preserve">, 2013; </w:t>
      </w:r>
      <w:r w:rsidR="00D6495F" w:rsidRPr="00D6495F">
        <w:rPr>
          <w:lang w:val="id-ID"/>
        </w:rPr>
        <w:t>Şen</w:t>
      </w:r>
      <w:r w:rsidR="00D6495F">
        <w:rPr>
          <w:lang w:val="id-ID"/>
        </w:rPr>
        <w:t>, 2013).</w:t>
      </w:r>
      <w:r w:rsidR="008D3571">
        <w:rPr>
          <w:lang w:val="id-ID"/>
        </w:rPr>
        <w:t xml:space="preserve"> </w:t>
      </w:r>
      <w:r w:rsidR="008D3571" w:rsidRPr="008D3571">
        <w:rPr>
          <w:lang w:val="id-ID"/>
        </w:rPr>
        <w:t>Luaran daya turbin angin secara signifikan bervariasi dengan WS sehingga setiap turbin angin memiliki kurva-daya yang unik. Kurva-daya membantu mempredik</w:t>
      </w:r>
      <w:r w:rsidR="0073038C">
        <w:rPr>
          <w:lang w:val="id-ID"/>
        </w:rPr>
        <w:t>si tanpa perlu mengetahaui detail</w:t>
      </w:r>
      <w:r w:rsidR="008D3571" w:rsidRPr="008D3571">
        <w:rPr>
          <w:lang w:val="id-ID"/>
        </w:rPr>
        <w:t xml:space="preserve"> teknis dar</w:t>
      </w:r>
      <w:r w:rsidR="0073038C">
        <w:rPr>
          <w:lang w:val="id-ID"/>
        </w:rPr>
        <w:t>i</w:t>
      </w:r>
      <w:r w:rsidR="008D3571" w:rsidRPr="008D3571">
        <w:rPr>
          <w:lang w:val="id-ID"/>
        </w:rPr>
        <w:t xml:space="preserve"> setiap komponen sist</w:t>
      </w:r>
      <w:r w:rsidR="006F73B2">
        <w:rPr>
          <w:lang w:val="id-ID"/>
        </w:rPr>
        <w:t xml:space="preserve">em pembangkitan. (Manwell, </w:t>
      </w:r>
      <w:r w:rsidR="006F73B2" w:rsidRPr="006F73B2">
        <w:rPr>
          <w:lang w:val="id-ID"/>
        </w:rPr>
        <w:t>McGowan</w:t>
      </w:r>
      <w:r w:rsidR="006F73B2">
        <w:rPr>
          <w:lang w:val="id-ID"/>
        </w:rPr>
        <w:t xml:space="preserve"> dan </w:t>
      </w:r>
      <w:r w:rsidR="006F73B2" w:rsidRPr="006F73B2">
        <w:rPr>
          <w:lang w:val="id-ID"/>
        </w:rPr>
        <w:t>Rogers</w:t>
      </w:r>
      <w:r w:rsidR="008D3571" w:rsidRPr="008D3571">
        <w:rPr>
          <w:lang w:val="id-ID"/>
        </w:rPr>
        <w:t xml:space="preserve">, 2010). Kurva-daya memberikan besaran daya listrik luaran sebagai fungsi dari WS pada posisi ketinggian dari </w:t>
      </w:r>
      <w:r w:rsidR="008D3571" w:rsidRPr="0073038C">
        <w:rPr>
          <w:i/>
          <w:lang w:val="id-ID"/>
        </w:rPr>
        <w:t>hub</w:t>
      </w:r>
      <w:r w:rsidR="008D3571" w:rsidRPr="008D3571">
        <w:rPr>
          <w:lang w:val="id-ID"/>
        </w:rPr>
        <w:t xml:space="preserve">. Kurva-daya terdiri dari </w:t>
      </w:r>
      <w:r w:rsidR="008D3571" w:rsidRPr="00A93325">
        <w:rPr>
          <w:i/>
          <w:lang w:val="id-ID"/>
        </w:rPr>
        <w:t>cut-in</w:t>
      </w:r>
      <w:r w:rsidR="008D3571" w:rsidRPr="008D3571">
        <w:rPr>
          <w:lang w:val="id-ID"/>
        </w:rPr>
        <w:t xml:space="preserve">, </w:t>
      </w:r>
      <w:r w:rsidR="008D3571" w:rsidRPr="00A93325">
        <w:rPr>
          <w:i/>
          <w:lang w:val="id-ID"/>
        </w:rPr>
        <w:t>rated</w:t>
      </w:r>
      <w:r w:rsidR="008D3571" w:rsidRPr="008D3571">
        <w:rPr>
          <w:lang w:val="id-ID"/>
        </w:rPr>
        <w:t xml:space="preserve"> dan </w:t>
      </w:r>
      <w:r w:rsidR="008D3571" w:rsidRPr="00A93325">
        <w:rPr>
          <w:i/>
          <w:lang w:val="id-ID"/>
        </w:rPr>
        <w:t>cut-out</w:t>
      </w:r>
      <w:r w:rsidR="008D3571" w:rsidRPr="008D3571">
        <w:rPr>
          <w:lang w:val="id-ID"/>
        </w:rPr>
        <w:t xml:space="preserve"> WS. Kurva-daya untuk setiap turbin didapat dari test lapangan dan diberikan oleh pabrik pembuatnya (Lydia et al., 2014)</w:t>
      </w:r>
      <w:r w:rsidR="008D3571">
        <w:rPr>
          <w:lang w:val="id-ID"/>
        </w:rPr>
        <w:t>.</w:t>
      </w:r>
      <w:r w:rsidR="00096093">
        <w:rPr>
          <w:lang w:val="id-ID"/>
        </w:rPr>
        <w:t xml:space="preserve"> Dengan menggunakan model turbin angin dari General Electric da</w:t>
      </w:r>
      <w:r w:rsidR="002F00FE">
        <w:rPr>
          <w:lang w:val="id-ID"/>
        </w:rPr>
        <w:t>n kondisi angin seperti tabel 2, didapat estimasi pembangkitan daya listrik seperti pada tabel 3 berikut ini.</w:t>
      </w:r>
      <w:r w:rsidR="008D3571">
        <w:rPr>
          <w:lang w:val="id-ID"/>
        </w:rPr>
        <w:t xml:space="preserve"> </w:t>
      </w:r>
    </w:p>
    <w:p w:rsidR="001A1800" w:rsidRPr="00DA160E" w:rsidRDefault="001A1800" w:rsidP="001A1800">
      <w:pPr>
        <w:spacing w:line="360" w:lineRule="auto"/>
        <w:ind w:firstLine="540"/>
        <w:jc w:val="center"/>
        <w:rPr>
          <w:lang w:val="id-ID"/>
        </w:rPr>
      </w:pPr>
      <w:r w:rsidRPr="00DA160E">
        <w:rPr>
          <w:lang w:val="id-ID"/>
        </w:rPr>
        <w:t>Tabel 3.</w:t>
      </w:r>
    </w:p>
    <w:p w:rsidR="001A1800" w:rsidRPr="00DA160E" w:rsidRDefault="00C3034C" w:rsidP="001A1800">
      <w:pPr>
        <w:spacing w:line="360" w:lineRule="auto"/>
        <w:ind w:firstLine="540"/>
        <w:jc w:val="center"/>
        <w:rPr>
          <w:lang w:val="id-ID"/>
        </w:rPr>
      </w:pPr>
      <w:r w:rsidRPr="00DA160E">
        <w:rPr>
          <w:lang w:val="id-ID"/>
        </w:rPr>
        <w:t>Estimasi daya pembangkitan</w:t>
      </w:r>
      <w:r w:rsidR="004B3C87" w:rsidRPr="00DA160E">
        <w:rPr>
          <w:lang w:val="id-ID"/>
        </w:rPr>
        <w:t xml:space="preserve"> (kW)</w:t>
      </w:r>
      <w:r w:rsidRPr="00DA160E">
        <w:rPr>
          <w:lang w:val="id-ID"/>
        </w:rPr>
        <w:t xml:space="preserve"> dari kurva-daya </w:t>
      </w:r>
      <w:r w:rsidR="00695087" w:rsidRPr="00DA160E">
        <w:rPr>
          <w:lang w:val="id-ID"/>
        </w:rPr>
        <w:t xml:space="preserve"> </w:t>
      </w:r>
      <w:r w:rsidR="004C70DB" w:rsidRPr="00DA160E">
        <w:rPr>
          <w:lang w:val="id-ID"/>
        </w:rPr>
        <w:t xml:space="preserve">untuk </w:t>
      </w:r>
      <w:r w:rsidRPr="00DA160E">
        <w:rPr>
          <w:lang w:val="id-ID"/>
        </w:rPr>
        <w:t>GE model</w:t>
      </w:r>
    </w:p>
    <w:tbl>
      <w:tblPr>
        <w:tblW w:w="6243" w:type="dxa"/>
        <w:jc w:val="center"/>
        <w:tblInd w:w="621" w:type="dxa"/>
        <w:tblLayout w:type="fixed"/>
        <w:tblCellMar>
          <w:left w:w="0" w:type="dxa"/>
          <w:right w:w="0" w:type="dxa"/>
        </w:tblCellMar>
        <w:tblLook w:val="0000"/>
      </w:tblPr>
      <w:tblGrid>
        <w:gridCol w:w="2534"/>
        <w:gridCol w:w="1758"/>
        <w:gridCol w:w="1951"/>
      </w:tblGrid>
      <w:tr w:rsidR="00103C3C" w:rsidRPr="00DA160E" w:rsidTr="00103C3C">
        <w:trPr>
          <w:jc w:val="center"/>
        </w:trPr>
        <w:tc>
          <w:tcPr>
            <w:tcW w:w="2534" w:type="dxa"/>
            <w:tcBorders>
              <w:top w:val="single" w:sz="8" w:space="0" w:color="000000"/>
              <w:bottom w:val="single" w:sz="4" w:space="0" w:color="000000"/>
            </w:tcBorders>
            <w:shd w:val="clear" w:color="auto" w:fill="auto"/>
          </w:tcPr>
          <w:p w:rsidR="00103C3C" w:rsidRPr="00DA160E" w:rsidRDefault="00103C3C" w:rsidP="00103C3C">
            <w:pPr>
              <w:autoSpaceDE w:val="0"/>
              <w:snapToGrid w:val="0"/>
              <w:jc w:val="center"/>
              <w:rPr>
                <w:lang w:val="id-ID"/>
              </w:rPr>
            </w:pPr>
            <w:r w:rsidRPr="00DA160E">
              <w:rPr>
                <w:i/>
                <w:lang w:val="id-ID"/>
              </w:rPr>
              <w:t>avg</w:t>
            </w:r>
            <w:r w:rsidRPr="00DA160E">
              <w:rPr>
                <w:lang w:val="id-ID"/>
              </w:rPr>
              <w:t>WS÷STD</w:t>
            </w:r>
          </w:p>
          <w:p w:rsidR="00103C3C" w:rsidRPr="00DA160E" w:rsidRDefault="00103C3C" w:rsidP="00103C3C">
            <w:pPr>
              <w:autoSpaceDE w:val="0"/>
              <w:snapToGrid w:val="0"/>
              <w:jc w:val="center"/>
              <w:rPr>
                <w:lang w:val="id-ID"/>
              </w:rPr>
            </w:pPr>
            <w:r w:rsidRPr="00DA160E">
              <w:rPr>
                <w:lang w:val="id-ID"/>
              </w:rPr>
              <w:t>(</w:t>
            </w:r>
            <w:r w:rsidRPr="00DA160E">
              <w:rPr>
                <w:iCs/>
                <w:lang w:val="id-ID"/>
              </w:rPr>
              <w:t>m s</w:t>
            </w:r>
            <w:r w:rsidRPr="00DA160E">
              <w:rPr>
                <w:iCs/>
                <w:vertAlign w:val="superscript"/>
                <w:lang w:val="id-ID"/>
              </w:rPr>
              <w:t>–1</w:t>
            </w:r>
            <w:r w:rsidRPr="00DA160E">
              <w:rPr>
                <w:iCs/>
                <w:lang w:val="id-ID"/>
              </w:rPr>
              <w:t>)</w:t>
            </w:r>
          </w:p>
        </w:tc>
        <w:tc>
          <w:tcPr>
            <w:tcW w:w="1758" w:type="dxa"/>
            <w:tcBorders>
              <w:top w:val="single" w:sz="8" w:space="0" w:color="000000"/>
              <w:bottom w:val="single" w:sz="4" w:space="0" w:color="000000"/>
            </w:tcBorders>
            <w:shd w:val="clear" w:color="auto" w:fill="auto"/>
          </w:tcPr>
          <w:p w:rsidR="005E3B1A" w:rsidRPr="00DA160E" w:rsidRDefault="00103C3C" w:rsidP="005E3B1A">
            <w:pPr>
              <w:autoSpaceDE w:val="0"/>
              <w:snapToGrid w:val="0"/>
              <w:jc w:val="center"/>
              <w:rPr>
                <w:lang w:val="id-ID"/>
              </w:rPr>
            </w:pPr>
            <w:r w:rsidRPr="00DA160E">
              <w:rPr>
                <w:lang w:val="id-ID"/>
              </w:rPr>
              <w:t>GE 1.5s</w:t>
            </w:r>
          </w:p>
          <w:p w:rsidR="00103C3C" w:rsidRPr="00DA160E" w:rsidRDefault="005E3B1A" w:rsidP="005E3B1A">
            <w:pPr>
              <w:autoSpaceDE w:val="0"/>
              <w:snapToGrid w:val="0"/>
              <w:jc w:val="center"/>
              <w:rPr>
                <w:lang w:val="id-ID"/>
              </w:rPr>
            </w:pPr>
            <w:r w:rsidRPr="00DA160E">
              <w:rPr>
                <w:lang w:val="id-ID"/>
              </w:rPr>
              <w:t>(kW)</w:t>
            </w:r>
          </w:p>
        </w:tc>
        <w:tc>
          <w:tcPr>
            <w:tcW w:w="1951" w:type="dxa"/>
            <w:tcBorders>
              <w:top w:val="single" w:sz="8" w:space="0" w:color="000000"/>
              <w:bottom w:val="single" w:sz="4" w:space="0" w:color="000000"/>
            </w:tcBorders>
          </w:tcPr>
          <w:p w:rsidR="005E3B1A" w:rsidRPr="00DA160E" w:rsidRDefault="00103C3C" w:rsidP="005E3B1A">
            <w:pPr>
              <w:autoSpaceDE w:val="0"/>
              <w:snapToGrid w:val="0"/>
              <w:jc w:val="center"/>
              <w:rPr>
                <w:lang w:val="id-ID"/>
              </w:rPr>
            </w:pPr>
            <w:r w:rsidRPr="00DA160E">
              <w:rPr>
                <w:lang w:val="id-ID"/>
              </w:rPr>
              <w:t>GE 3.4-137</w:t>
            </w:r>
          </w:p>
          <w:p w:rsidR="00103C3C" w:rsidRPr="00DA160E" w:rsidRDefault="005E3B1A" w:rsidP="005E3B1A">
            <w:pPr>
              <w:autoSpaceDE w:val="0"/>
              <w:snapToGrid w:val="0"/>
              <w:jc w:val="center"/>
              <w:rPr>
                <w:lang w:val="id-ID"/>
              </w:rPr>
            </w:pPr>
            <w:r w:rsidRPr="00DA160E">
              <w:rPr>
                <w:lang w:val="id-ID"/>
              </w:rPr>
              <w:t>(kW)</w:t>
            </w:r>
          </w:p>
        </w:tc>
      </w:tr>
      <w:tr w:rsidR="00103C3C" w:rsidRPr="00DA160E" w:rsidTr="00974ABD">
        <w:trPr>
          <w:jc w:val="center"/>
        </w:trPr>
        <w:tc>
          <w:tcPr>
            <w:tcW w:w="2534" w:type="dxa"/>
            <w:tcBorders>
              <w:bottom w:val="single" w:sz="4" w:space="0" w:color="000000"/>
            </w:tcBorders>
            <w:shd w:val="clear" w:color="auto" w:fill="auto"/>
            <w:vAlign w:val="bottom"/>
          </w:tcPr>
          <w:p w:rsidR="00103C3C" w:rsidRPr="00DA160E" w:rsidRDefault="00103C3C" w:rsidP="00103C3C">
            <w:pPr>
              <w:jc w:val="center"/>
              <w:rPr>
                <w:color w:val="000000"/>
              </w:rPr>
            </w:pPr>
            <w:r w:rsidRPr="00DA160E">
              <w:rPr>
                <w:color w:val="000000"/>
              </w:rPr>
              <w:t>5.00</w:t>
            </w:r>
          </w:p>
        </w:tc>
        <w:tc>
          <w:tcPr>
            <w:tcW w:w="1758" w:type="dxa"/>
            <w:tcBorders>
              <w:bottom w:val="single" w:sz="4" w:space="0" w:color="000000"/>
            </w:tcBorders>
            <w:shd w:val="clear" w:color="auto" w:fill="auto"/>
            <w:vAlign w:val="bottom"/>
          </w:tcPr>
          <w:p w:rsidR="00103C3C" w:rsidRPr="00DA160E" w:rsidRDefault="00103C3C" w:rsidP="00103C3C">
            <w:pPr>
              <w:jc w:val="center"/>
              <w:rPr>
                <w:color w:val="000000"/>
              </w:rPr>
            </w:pPr>
            <w:r w:rsidRPr="00DA160E">
              <w:rPr>
                <w:color w:val="000000"/>
              </w:rPr>
              <w:t>104.00</w:t>
            </w:r>
          </w:p>
        </w:tc>
        <w:tc>
          <w:tcPr>
            <w:tcW w:w="1951" w:type="dxa"/>
            <w:tcBorders>
              <w:bottom w:val="single" w:sz="4" w:space="0" w:color="000000"/>
            </w:tcBorders>
            <w:vAlign w:val="bottom"/>
          </w:tcPr>
          <w:p w:rsidR="00103C3C" w:rsidRPr="00DA160E" w:rsidRDefault="00103C3C" w:rsidP="00103C3C">
            <w:pPr>
              <w:jc w:val="center"/>
              <w:rPr>
                <w:color w:val="000000"/>
              </w:rPr>
            </w:pPr>
            <w:r w:rsidRPr="00DA160E">
              <w:rPr>
                <w:color w:val="000000"/>
              </w:rPr>
              <w:t>497.00</w:t>
            </w:r>
          </w:p>
        </w:tc>
      </w:tr>
      <w:tr w:rsidR="00103C3C" w:rsidRPr="00DA160E" w:rsidTr="002F537D">
        <w:trPr>
          <w:jc w:val="center"/>
        </w:trPr>
        <w:tc>
          <w:tcPr>
            <w:tcW w:w="2534" w:type="dxa"/>
            <w:tcBorders>
              <w:bottom w:val="single" w:sz="4" w:space="0" w:color="000000"/>
            </w:tcBorders>
            <w:shd w:val="clear" w:color="auto" w:fill="auto"/>
            <w:vAlign w:val="bottom"/>
          </w:tcPr>
          <w:p w:rsidR="00103C3C" w:rsidRPr="00DA160E" w:rsidRDefault="00103C3C" w:rsidP="00103C3C">
            <w:pPr>
              <w:jc w:val="center"/>
              <w:rPr>
                <w:color w:val="000000"/>
              </w:rPr>
            </w:pPr>
            <w:r w:rsidRPr="00DA160E">
              <w:rPr>
                <w:color w:val="000000"/>
                <w:lang w:val="id-ID"/>
              </w:rPr>
              <w:t>6.64</w:t>
            </w:r>
          </w:p>
        </w:tc>
        <w:tc>
          <w:tcPr>
            <w:tcW w:w="1758" w:type="dxa"/>
            <w:tcBorders>
              <w:bottom w:val="single" w:sz="4" w:space="0" w:color="000000"/>
            </w:tcBorders>
            <w:shd w:val="clear" w:color="auto" w:fill="auto"/>
            <w:vAlign w:val="bottom"/>
          </w:tcPr>
          <w:p w:rsidR="00103C3C" w:rsidRPr="00DA160E" w:rsidRDefault="00103C3C" w:rsidP="00103C3C">
            <w:pPr>
              <w:jc w:val="center"/>
              <w:rPr>
                <w:color w:val="000000"/>
              </w:rPr>
            </w:pPr>
            <w:r w:rsidRPr="00DA160E">
              <w:rPr>
                <w:color w:val="000000"/>
              </w:rPr>
              <w:t>306.50</w:t>
            </w:r>
          </w:p>
        </w:tc>
        <w:tc>
          <w:tcPr>
            <w:tcW w:w="1951" w:type="dxa"/>
            <w:tcBorders>
              <w:bottom w:val="single" w:sz="4" w:space="0" w:color="000000"/>
            </w:tcBorders>
            <w:vAlign w:val="bottom"/>
          </w:tcPr>
          <w:p w:rsidR="00103C3C" w:rsidRPr="00DA160E" w:rsidRDefault="00103C3C" w:rsidP="00103C3C">
            <w:pPr>
              <w:jc w:val="center"/>
              <w:rPr>
                <w:color w:val="000000"/>
              </w:rPr>
            </w:pPr>
            <w:r w:rsidRPr="00DA160E">
              <w:rPr>
                <w:color w:val="000000"/>
              </w:rPr>
              <w:t>1265.50</w:t>
            </w:r>
          </w:p>
        </w:tc>
      </w:tr>
      <w:tr w:rsidR="00103C3C" w:rsidRPr="00DA160E" w:rsidTr="002F537D">
        <w:trPr>
          <w:jc w:val="center"/>
        </w:trPr>
        <w:tc>
          <w:tcPr>
            <w:tcW w:w="2534" w:type="dxa"/>
            <w:tcBorders>
              <w:top w:val="single" w:sz="4" w:space="0" w:color="000000"/>
              <w:bottom w:val="single" w:sz="4" w:space="0" w:color="auto"/>
            </w:tcBorders>
            <w:shd w:val="clear" w:color="auto" w:fill="auto"/>
            <w:vAlign w:val="bottom"/>
          </w:tcPr>
          <w:p w:rsidR="00103C3C" w:rsidRPr="00DA160E" w:rsidRDefault="00103C3C" w:rsidP="00103C3C">
            <w:pPr>
              <w:jc w:val="center"/>
              <w:rPr>
                <w:color w:val="000000"/>
              </w:rPr>
            </w:pPr>
            <w:r w:rsidRPr="00DA160E">
              <w:rPr>
                <w:color w:val="000000"/>
              </w:rPr>
              <w:t>8.28</w:t>
            </w:r>
          </w:p>
        </w:tc>
        <w:tc>
          <w:tcPr>
            <w:tcW w:w="1758" w:type="dxa"/>
            <w:tcBorders>
              <w:top w:val="single" w:sz="4" w:space="0" w:color="000000"/>
              <w:bottom w:val="single" w:sz="4" w:space="0" w:color="auto"/>
            </w:tcBorders>
            <w:shd w:val="clear" w:color="auto" w:fill="auto"/>
            <w:vAlign w:val="bottom"/>
          </w:tcPr>
          <w:p w:rsidR="00103C3C" w:rsidRPr="00DA160E" w:rsidRDefault="00103C3C" w:rsidP="00103C3C">
            <w:pPr>
              <w:jc w:val="center"/>
              <w:rPr>
                <w:color w:val="000000"/>
              </w:rPr>
            </w:pPr>
            <w:r w:rsidRPr="00DA160E">
              <w:rPr>
                <w:color w:val="000000"/>
              </w:rPr>
              <w:t>586.00</w:t>
            </w:r>
          </w:p>
        </w:tc>
        <w:tc>
          <w:tcPr>
            <w:tcW w:w="1951" w:type="dxa"/>
            <w:tcBorders>
              <w:top w:val="single" w:sz="4" w:space="0" w:color="000000"/>
              <w:bottom w:val="single" w:sz="4" w:space="0" w:color="auto"/>
            </w:tcBorders>
            <w:vAlign w:val="bottom"/>
          </w:tcPr>
          <w:p w:rsidR="00103C3C" w:rsidRPr="00DA160E" w:rsidRDefault="00103C3C" w:rsidP="00103C3C">
            <w:pPr>
              <w:jc w:val="center"/>
              <w:rPr>
                <w:color w:val="000000"/>
              </w:rPr>
            </w:pPr>
            <w:r w:rsidRPr="00DA160E">
              <w:rPr>
                <w:color w:val="000000"/>
              </w:rPr>
              <w:t>2230.50</w:t>
            </w:r>
          </w:p>
        </w:tc>
      </w:tr>
      <w:tr w:rsidR="002F537D" w:rsidRPr="00DA160E" w:rsidTr="002F537D">
        <w:trPr>
          <w:jc w:val="center"/>
        </w:trPr>
        <w:tc>
          <w:tcPr>
            <w:tcW w:w="2534" w:type="dxa"/>
            <w:tcBorders>
              <w:top w:val="single" w:sz="4" w:space="0" w:color="auto"/>
              <w:bottom w:val="single" w:sz="4" w:space="0" w:color="000000"/>
            </w:tcBorders>
            <w:shd w:val="clear" w:color="auto" w:fill="auto"/>
            <w:vAlign w:val="bottom"/>
          </w:tcPr>
          <w:p w:rsidR="00226516" w:rsidRPr="00DA160E" w:rsidRDefault="002F537D" w:rsidP="00103C3C">
            <w:pPr>
              <w:jc w:val="center"/>
              <w:rPr>
                <w:color w:val="000000"/>
                <w:lang w:val="id-ID"/>
              </w:rPr>
            </w:pPr>
            <w:r w:rsidRPr="00DA160E">
              <w:rPr>
                <w:i/>
                <w:color w:val="000000"/>
                <w:lang w:val="id-ID"/>
              </w:rPr>
              <w:t>rated</w:t>
            </w:r>
            <w:r w:rsidRPr="00DA160E">
              <w:rPr>
                <w:color w:val="000000"/>
                <w:lang w:val="id-ID"/>
              </w:rPr>
              <w:t>WS</w:t>
            </w:r>
          </w:p>
          <w:p w:rsidR="002F537D" w:rsidRPr="00DA160E" w:rsidRDefault="00DB7BE1" w:rsidP="0005100A">
            <w:pPr>
              <w:jc w:val="center"/>
              <w:rPr>
                <w:color w:val="000000"/>
                <w:lang w:val="id-ID"/>
              </w:rPr>
            </w:pPr>
            <w:r>
              <w:rPr>
                <w:color w:val="000000"/>
                <w:lang w:val="id-ID"/>
              </w:rPr>
              <w:t>13.00</w:t>
            </w:r>
          </w:p>
        </w:tc>
        <w:tc>
          <w:tcPr>
            <w:tcW w:w="1758" w:type="dxa"/>
            <w:tcBorders>
              <w:top w:val="single" w:sz="4" w:space="0" w:color="auto"/>
              <w:bottom w:val="single" w:sz="4" w:space="0" w:color="000000"/>
            </w:tcBorders>
            <w:shd w:val="clear" w:color="auto" w:fill="auto"/>
            <w:vAlign w:val="bottom"/>
          </w:tcPr>
          <w:p w:rsidR="002F537D" w:rsidRPr="00DA160E" w:rsidRDefault="0005100A" w:rsidP="002F537D">
            <w:pPr>
              <w:jc w:val="center"/>
              <w:rPr>
                <w:color w:val="000000"/>
              </w:rPr>
            </w:pPr>
            <w:r w:rsidRPr="0005100A">
              <w:rPr>
                <w:color w:val="000000"/>
              </w:rPr>
              <w:t>1494</w:t>
            </w:r>
            <w:r w:rsidR="002F537D" w:rsidRPr="00DA160E">
              <w:rPr>
                <w:color w:val="000000"/>
              </w:rPr>
              <w:t>.00</w:t>
            </w:r>
          </w:p>
        </w:tc>
        <w:tc>
          <w:tcPr>
            <w:tcW w:w="1951" w:type="dxa"/>
            <w:tcBorders>
              <w:top w:val="single" w:sz="4" w:space="0" w:color="auto"/>
              <w:bottom w:val="single" w:sz="4" w:space="0" w:color="000000"/>
            </w:tcBorders>
            <w:vAlign w:val="bottom"/>
          </w:tcPr>
          <w:p w:rsidR="002F537D" w:rsidRDefault="002F537D" w:rsidP="002F537D">
            <w:pPr>
              <w:jc w:val="center"/>
              <w:rPr>
                <w:color w:val="000000"/>
                <w:lang w:val="id-ID"/>
              </w:rPr>
            </w:pPr>
          </w:p>
          <w:p w:rsidR="00DB7BE1" w:rsidRPr="00DB7BE1" w:rsidRDefault="0005100A" w:rsidP="002F537D">
            <w:pPr>
              <w:jc w:val="center"/>
              <w:rPr>
                <w:color w:val="000000"/>
                <w:lang w:val="id-ID"/>
              </w:rPr>
            </w:pPr>
            <w:r w:rsidRPr="0005100A">
              <w:rPr>
                <w:color w:val="000000"/>
              </w:rPr>
              <w:t>3430</w:t>
            </w:r>
            <w:r w:rsidRPr="00DA160E">
              <w:rPr>
                <w:color w:val="000000"/>
              </w:rPr>
              <w:t>.00</w:t>
            </w:r>
          </w:p>
        </w:tc>
      </w:tr>
    </w:tbl>
    <w:p w:rsidR="00046C25" w:rsidRDefault="00046C25" w:rsidP="00C234ED">
      <w:pPr>
        <w:spacing w:line="360" w:lineRule="auto"/>
        <w:jc w:val="both"/>
        <w:rPr>
          <w:lang w:val="id-ID"/>
        </w:rPr>
      </w:pPr>
    </w:p>
    <w:p w:rsidR="00714352" w:rsidRDefault="00383267" w:rsidP="00C234ED">
      <w:pPr>
        <w:spacing w:line="360" w:lineRule="auto"/>
        <w:jc w:val="both"/>
        <w:rPr>
          <w:color w:val="000000"/>
          <w:lang w:val="id-ID"/>
        </w:rPr>
      </w:pPr>
      <w:r>
        <w:rPr>
          <w:lang w:val="id-ID"/>
        </w:rPr>
        <w:lastRenderedPageBreak/>
        <w:t xml:space="preserve">Dari tabel 3 menunjukkan daya pembangkitan untuk model turbin angin GE daya rendah dan tinggi untuk kondisi di Indonesia berkisar </w:t>
      </w:r>
      <w:r w:rsidRPr="00DA160E">
        <w:rPr>
          <w:lang w:val="id-ID"/>
        </w:rPr>
        <w:t xml:space="preserve">antara </w:t>
      </w:r>
      <w:r w:rsidRPr="00DA160E">
        <w:rPr>
          <w:color w:val="000000"/>
        </w:rPr>
        <w:t>104.00</w:t>
      </w:r>
      <w:r w:rsidRPr="00DA160E">
        <w:rPr>
          <w:color w:val="000000"/>
          <w:lang w:val="id-ID"/>
        </w:rPr>
        <w:t xml:space="preserve"> - </w:t>
      </w:r>
      <w:r w:rsidRPr="00DA160E">
        <w:rPr>
          <w:lang w:val="id-ID"/>
        </w:rPr>
        <w:t xml:space="preserve"> </w:t>
      </w:r>
      <w:r w:rsidRPr="00DA160E">
        <w:rPr>
          <w:color w:val="000000"/>
        </w:rPr>
        <w:t>2230.50</w:t>
      </w:r>
      <w:r w:rsidRPr="00DA160E">
        <w:rPr>
          <w:color w:val="000000"/>
          <w:lang w:val="id-ID"/>
        </w:rPr>
        <w:t xml:space="preserve"> kW</w:t>
      </w:r>
      <w:r w:rsidR="008F5806">
        <w:rPr>
          <w:color w:val="000000"/>
          <w:lang w:val="id-ID"/>
        </w:rPr>
        <w:t xml:space="preserve"> pertitik instalasi</w:t>
      </w:r>
      <w:r w:rsidRPr="00DA160E">
        <w:rPr>
          <w:color w:val="000000"/>
          <w:lang w:val="id-ID"/>
        </w:rPr>
        <w:t>.</w:t>
      </w:r>
    </w:p>
    <w:p w:rsidR="002F537D" w:rsidRPr="00DA160E" w:rsidRDefault="00BA18F0" w:rsidP="00714352">
      <w:pPr>
        <w:spacing w:line="360" w:lineRule="auto"/>
        <w:ind w:firstLine="540"/>
        <w:jc w:val="both"/>
        <w:rPr>
          <w:lang w:val="id-ID"/>
        </w:rPr>
      </w:pPr>
      <w:r>
        <w:rPr>
          <w:color w:val="000000"/>
          <w:lang w:val="id-ID"/>
        </w:rPr>
        <w:t>Jika dibandingkan dengan sistem dari PLTB SIDRAP ladang energi angin pertama di Indonesia,</w:t>
      </w:r>
      <w:r w:rsidR="00405BB8">
        <w:rPr>
          <w:color w:val="000000"/>
          <w:lang w:val="id-ID"/>
        </w:rPr>
        <w:t xml:space="preserve"> telah terinstalasi 30 titik generator turbin angin dengan menggunakan </w:t>
      </w:r>
      <w:r w:rsidR="00405BB8" w:rsidRPr="00405BB8">
        <w:rPr>
          <w:color w:val="000000"/>
          <w:lang w:val="id-ID"/>
        </w:rPr>
        <w:t>Gamesa G114-2.5MW</w:t>
      </w:r>
      <w:r w:rsidR="00405BB8">
        <w:rPr>
          <w:color w:val="000000"/>
          <w:lang w:val="id-ID"/>
        </w:rPr>
        <w:t xml:space="preserve"> model. Dengan target pembangkitan energi listrik sebesar 75 MW, sehingga optimal daya pertitik turbin sebesar 2.5 MW.</w:t>
      </w:r>
      <w:r w:rsidR="00CF409D">
        <w:rPr>
          <w:color w:val="000000"/>
          <w:lang w:val="id-ID"/>
        </w:rPr>
        <w:t xml:space="preserve"> Perbandingan dapat dilakukan dengan melihat kurva-daya antara model  </w:t>
      </w:r>
      <w:r w:rsidR="00CF409D" w:rsidRPr="00DA160E">
        <w:rPr>
          <w:lang w:val="id-ID"/>
        </w:rPr>
        <w:t>GE 3.4-137</w:t>
      </w:r>
      <w:r w:rsidR="00CF409D">
        <w:rPr>
          <w:lang w:val="id-ID"/>
        </w:rPr>
        <w:t xml:space="preserve"> MW dengan  </w:t>
      </w:r>
      <w:r w:rsidR="00CF409D" w:rsidRPr="00405BB8">
        <w:rPr>
          <w:color w:val="000000"/>
          <w:lang w:val="id-ID"/>
        </w:rPr>
        <w:t>Gamesa G114-2.5MW</w:t>
      </w:r>
      <w:r w:rsidR="005C2285">
        <w:rPr>
          <w:color w:val="000000"/>
          <w:lang w:val="id-ID"/>
        </w:rPr>
        <w:t xml:space="preserve"> seperti tabel 4 dibawah ini</w:t>
      </w:r>
      <w:r w:rsidR="00CF409D">
        <w:rPr>
          <w:color w:val="000000"/>
          <w:lang w:val="id-ID"/>
        </w:rPr>
        <w:t>.</w:t>
      </w:r>
    </w:p>
    <w:p w:rsidR="007F3B32" w:rsidRPr="00DA160E" w:rsidRDefault="007F3B32" w:rsidP="007F3B32">
      <w:pPr>
        <w:spacing w:line="360" w:lineRule="auto"/>
        <w:ind w:firstLine="540"/>
        <w:jc w:val="center"/>
        <w:rPr>
          <w:lang w:val="id-ID"/>
        </w:rPr>
      </w:pPr>
      <w:r>
        <w:rPr>
          <w:lang w:val="id-ID"/>
        </w:rPr>
        <w:t>Tabel 4</w:t>
      </w:r>
      <w:r w:rsidRPr="00DA160E">
        <w:rPr>
          <w:lang w:val="id-ID"/>
        </w:rPr>
        <w:t>.</w:t>
      </w:r>
    </w:p>
    <w:p w:rsidR="00834193" w:rsidRDefault="00656E53" w:rsidP="007F3B32">
      <w:pPr>
        <w:spacing w:line="360" w:lineRule="auto"/>
        <w:ind w:firstLine="540"/>
        <w:jc w:val="center"/>
        <w:rPr>
          <w:lang w:val="id-ID"/>
        </w:rPr>
      </w:pPr>
      <w:r>
        <w:rPr>
          <w:lang w:val="id-ID"/>
        </w:rPr>
        <w:t xml:space="preserve">Perbandingan </w:t>
      </w:r>
      <w:r w:rsidR="007F3B32" w:rsidRPr="00DA160E">
        <w:rPr>
          <w:lang w:val="id-ID"/>
        </w:rPr>
        <w:t xml:space="preserve">daya pembangkitan (kW) dari kurva-daya  </w:t>
      </w:r>
      <w:r w:rsidR="00834193">
        <w:rPr>
          <w:lang w:val="id-ID"/>
        </w:rPr>
        <w:t>untuk</w:t>
      </w:r>
    </w:p>
    <w:p w:rsidR="007F3B32" w:rsidRPr="00DA160E" w:rsidRDefault="007F3B32" w:rsidP="007F3B32">
      <w:pPr>
        <w:spacing w:line="360" w:lineRule="auto"/>
        <w:ind w:firstLine="540"/>
        <w:jc w:val="center"/>
        <w:rPr>
          <w:lang w:val="id-ID"/>
        </w:rPr>
      </w:pPr>
      <w:r w:rsidRPr="00DA160E">
        <w:rPr>
          <w:lang w:val="id-ID"/>
        </w:rPr>
        <w:t xml:space="preserve">GE </w:t>
      </w:r>
      <w:r w:rsidR="00656E53">
        <w:rPr>
          <w:lang w:val="id-ID"/>
        </w:rPr>
        <w:t xml:space="preserve">dengan GAMESA </w:t>
      </w:r>
      <w:r w:rsidRPr="00DA160E">
        <w:rPr>
          <w:lang w:val="id-ID"/>
        </w:rPr>
        <w:t>model</w:t>
      </w:r>
    </w:p>
    <w:tbl>
      <w:tblPr>
        <w:tblW w:w="6050" w:type="dxa"/>
        <w:jc w:val="center"/>
        <w:tblInd w:w="621" w:type="dxa"/>
        <w:tblLayout w:type="fixed"/>
        <w:tblCellMar>
          <w:left w:w="0" w:type="dxa"/>
          <w:right w:w="0" w:type="dxa"/>
        </w:tblCellMar>
        <w:tblLook w:val="0000"/>
      </w:tblPr>
      <w:tblGrid>
        <w:gridCol w:w="2534"/>
        <w:gridCol w:w="1758"/>
        <w:gridCol w:w="1758"/>
      </w:tblGrid>
      <w:tr w:rsidR="007F3B32" w:rsidRPr="00DA160E" w:rsidTr="007F3B32">
        <w:trPr>
          <w:jc w:val="center"/>
        </w:trPr>
        <w:tc>
          <w:tcPr>
            <w:tcW w:w="2534" w:type="dxa"/>
            <w:tcBorders>
              <w:top w:val="single" w:sz="8" w:space="0" w:color="000000"/>
              <w:bottom w:val="single" w:sz="4" w:space="0" w:color="000000"/>
            </w:tcBorders>
            <w:shd w:val="clear" w:color="auto" w:fill="auto"/>
          </w:tcPr>
          <w:p w:rsidR="007F3B32" w:rsidRPr="00DA160E" w:rsidRDefault="007F3B32" w:rsidP="00DA6C2B">
            <w:pPr>
              <w:autoSpaceDE w:val="0"/>
              <w:snapToGrid w:val="0"/>
              <w:jc w:val="center"/>
              <w:rPr>
                <w:lang w:val="id-ID"/>
              </w:rPr>
            </w:pPr>
            <w:r w:rsidRPr="00DA160E">
              <w:rPr>
                <w:i/>
                <w:lang w:val="id-ID"/>
              </w:rPr>
              <w:t>avg</w:t>
            </w:r>
            <w:r w:rsidRPr="00DA160E">
              <w:rPr>
                <w:lang w:val="id-ID"/>
              </w:rPr>
              <w:t>WS÷STD</w:t>
            </w:r>
          </w:p>
          <w:p w:rsidR="007F3B32" w:rsidRPr="00DA160E" w:rsidRDefault="007F3B32" w:rsidP="00DA6C2B">
            <w:pPr>
              <w:autoSpaceDE w:val="0"/>
              <w:snapToGrid w:val="0"/>
              <w:jc w:val="center"/>
              <w:rPr>
                <w:lang w:val="id-ID"/>
              </w:rPr>
            </w:pPr>
            <w:r w:rsidRPr="00DA160E">
              <w:rPr>
                <w:lang w:val="id-ID"/>
              </w:rPr>
              <w:t>(</w:t>
            </w:r>
            <w:r w:rsidRPr="00DA160E">
              <w:rPr>
                <w:iCs/>
                <w:lang w:val="id-ID"/>
              </w:rPr>
              <w:t>m s</w:t>
            </w:r>
            <w:r w:rsidRPr="00DA160E">
              <w:rPr>
                <w:iCs/>
                <w:vertAlign w:val="superscript"/>
                <w:lang w:val="id-ID"/>
              </w:rPr>
              <w:t>–1</w:t>
            </w:r>
            <w:r w:rsidRPr="00DA160E">
              <w:rPr>
                <w:iCs/>
                <w:lang w:val="id-ID"/>
              </w:rPr>
              <w:t>)</w:t>
            </w:r>
          </w:p>
        </w:tc>
        <w:tc>
          <w:tcPr>
            <w:tcW w:w="1758" w:type="dxa"/>
            <w:tcBorders>
              <w:top w:val="single" w:sz="8" w:space="0" w:color="000000"/>
              <w:bottom w:val="single" w:sz="4" w:space="0" w:color="000000"/>
            </w:tcBorders>
          </w:tcPr>
          <w:p w:rsidR="007F3B32" w:rsidRPr="00DA160E" w:rsidRDefault="007F3B32" w:rsidP="00DA6C2B">
            <w:pPr>
              <w:autoSpaceDE w:val="0"/>
              <w:snapToGrid w:val="0"/>
              <w:jc w:val="center"/>
              <w:rPr>
                <w:lang w:val="id-ID"/>
              </w:rPr>
            </w:pPr>
            <w:r w:rsidRPr="00DA160E">
              <w:rPr>
                <w:lang w:val="id-ID"/>
              </w:rPr>
              <w:t>GE 3.4-137</w:t>
            </w:r>
          </w:p>
          <w:p w:rsidR="007F3B32" w:rsidRPr="00DA160E" w:rsidRDefault="007F3B32" w:rsidP="00DA6C2B">
            <w:pPr>
              <w:autoSpaceDE w:val="0"/>
              <w:snapToGrid w:val="0"/>
              <w:jc w:val="center"/>
              <w:rPr>
                <w:lang w:val="id-ID"/>
              </w:rPr>
            </w:pPr>
            <w:r w:rsidRPr="00DA160E">
              <w:rPr>
                <w:lang w:val="id-ID"/>
              </w:rPr>
              <w:t>(kW)</w:t>
            </w:r>
          </w:p>
        </w:tc>
        <w:tc>
          <w:tcPr>
            <w:tcW w:w="1758" w:type="dxa"/>
            <w:tcBorders>
              <w:top w:val="single" w:sz="8" w:space="0" w:color="000000"/>
              <w:bottom w:val="single" w:sz="4" w:space="0" w:color="000000"/>
            </w:tcBorders>
            <w:shd w:val="clear" w:color="auto" w:fill="auto"/>
          </w:tcPr>
          <w:p w:rsidR="007F3B32" w:rsidRPr="00DA160E" w:rsidRDefault="007F3B32" w:rsidP="00DA6C2B">
            <w:pPr>
              <w:autoSpaceDE w:val="0"/>
              <w:snapToGrid w:val="0"/>
              <w:jc w:val="center"/>
              <w:rPr>
                <w:lang w:val="id-ID"/>
              </w:rPr>
            </w:pPr>
            <w:r>
              <w:rPr>
                <w:lang w:val="id-ID"/>
              </w:rPr>
              <w:t>Gamesa G114-2.5</w:t>
            </w:r>
          </w:p>
          <w:p w:rsidR="007F3B32" w:rsidRPr="00DA160E" w:rsidRDefault="007F3B32" w:rsidP="00DA6C2B">
            <w:pPr>
              <w:autoSpaceDE w:val="0"/>
              <w:snapToGrid w:val="0"/>
              <w:jc w:val="center"/>
              <w:rPr>
                <w:lang w:val="id-ID"/>
              </w:rPr>
            </w:pPr>
            <w:r w:rsidRPr="00DA160E">
              <w:rPr>
                <w:lang w:val="id-ID"/>
              </w:rPr>
              <w:t>(kW)</w:t>
            </w:r>
          </w:p>
        </w:tc>
      </w:tr>
      <w:tr w:rsidR="007F3B32" w:rsidRPr="00DA160E" w:rsidTr="007F3B32">
        <w:trPr>
          <w:jc w:val="center"/>
        </w:trPr>
        <w:tc>
          <w:tcPr>
            <w:tcW w:w="2534" w:type="dxa"/>
            <w:tcBorders>
              <w:bottom w:val="single" w:sz="4" w:space="0" w:color="000000"/>
            </w:tcBorders>
            <w:shd w:val="clear" w:color="auto" w:fill="auto"/>
            <w:vAlign w:val="bottom"/>
          </w:tcPr>
          <w:p w:rsidR="007F3B32" w:rsidRPr="00DA160E" w:rsidRDefault="007F3B32" w:rsidP="00DA6C2B">
            <w:pPr>
              <w:jc w:val="center"/>
              <w:rPr>
                <w:color w:val="000000"/>
              </w:rPr>
            </w:pPr>
            <w:r w:rsidRPr="00DA160E">
              <w:rPr>
                <w:color w:val="000000"/>
              </w:rPr>
              <w:t>5.00</w:t>
            </w:r>
          </w:p>
        </w:tc>
        <w:tc>
          <w:tcPr>
            <w:tcW w:w="1758" w:type="dxa"/>
            <w:tcBorders>
              <w:bottom w:val="single" w:sz="4" w:space="0" w:color="000000"/>
            </w:tcBorders>
            <w:vAlign w:val="bottom"/>
          </w:tcPr>
          <w:p w:rsidR="007F3B32" w:rsidRPr="00DA160E" w:rsidRDefault="007F3B32" w:rsidP="00DA6C2B">
            <w:pPr>
              <w:jc w:val="center"/>
              <w:rPr>
                <w:color w:val="000000"/>
              </w:rPr>
            </w:pPr>
            <w:r w:rsidRPr="00DA160E">
              <w:rPr>
                <w:color w:val="000000"/>
              </w:rPr>
              <w:t>497.00</w:t>
            </w:r>
          </w:p>
        </w:tc>
        <w:tc>
          <w:tcPr>
            <w:tcW w:w="1758" w:type="dxa"/>
            <w:tcBorders>
              <w:bottom w:val="single" w:sz="4" w:space="0" w:color="000000"/>
            </w:tcBorders>
            <w:shd w:val="clear" w:color="auto" w:fill="auto"/>
            <w:vAlign w:val="bottom"/>
          </w:tcPr>
          <w:p w:rsidR="007F3B32" w:rsidRPr="007F3B32" w:rsidRDefault="007F3B32" w:rsidP="007F3B32">
            <w:pPr>
              <w:jc w:val="center"/>
              <w:rPr>
                <w:color w:val="000000"/>
              </w:rPr>
            </w:pPr>
            <w:r w:rsidRPr="007F3B32">
              <w:rPr>
                <w:color w:val="000000"/>
              </w:rPr>
              <w:t>321.00</w:t>
            </w:r>
          </w:p>
        </w:tc>
      </w:tr>
      <w:tr w:rsidR="007F3B32" w:rsidRPr="00DA160E" w:rsidTr="007F3B32">
        <w:trPr>
          <w:jc w:val="center"/>
        </w:trPr>
        <w:tc>
          <w:tcPr>
            <w:tcW w:w="2534" w:type="dxa"/>
            <w:tcBorders>
              <w:bottom w:val="single" w:sz="4" w:space="0" w:color="000000"/>
            </w:tcBorders>
            <w:shd w:val="clear" w:color="auto" w:fill="auto"/>
            <w:vAlign w:val="bottom"/>
          </w:tcPr>
          <w:p w:rsidR="007F3B32" w:rsidRPr="00DA160E" w:rsidRDefault="007F3B32" w:rsidP="00DA6C2B">
            <w:pPr>
              <w:jc w:val="center"/>
              <w:rPr>
                <w:color w:val="000000"/>
              </w:rPr>
            </w:pPr>
            <w:r w:rsidRPr="00DA160E">
              <w:rPr>
                <w:color w:val="000000"/>
                <w:lang w:val="id-ID"/>
              </w:rPr>
              <w:t>6.64</w:t>
            </w:r>
          </w:p>
        </w:tc>
        <w:tc>
          <w:tcPr>
            <w:tcW w:w="1758" w:type="dxa"/>
            <w:tcBorders>
              <w:bottom w:val="single" w:sz="4" w:space="0" w:color="000000"/>
            </w:tcBorders>
            <w:vAlign w:val="bottom"/>
          </w:tcPr>
          <w:p w:rsidR="007F3B32" w:rsidRPr="00DA160E" w:rsidRDefault="007F3B32" w:rsidP="00DA6C2B">
            <w:pPr>
              <w:jc w:val="center"/>
              <w:rPr>
                <w:color w:val="000000"/>
              </w:rPr>
            </w:pPr>
            <w:r w:rsidRPr="00DA160E">
              <w:rPr>
                <w:color w:val="000000"/>
              </w:rPr>
              <w:t>1265.50</w:t>
            </w:r>
          </w:p>
        </w:tc>
        <w:tc>
          <w:tcPr>
            <w:tcW w:w="1758" w:type="dxa"/>
            <w:tcBorders>
              <w:bottom w:val="single" w:sz="4" w:space="0" w:color="000000"/>
            </w:tcBorders>
            <w:shd w:val="clear" w:color="auto" w:fill="auto"/>
            <w:vAlign w:val="bottom"/>
          </w:tcPr>
          <w:p w:rsidR="007F3B32" w:rsidRPr="007F3B32" w:rsidRDefault="007F3B32" w:rsidP="007F3B32">
            <w:pPr>
              <w:jc w:val="center"/>
              <w:rPr>
                <w:color w:val="000000"/>
              </w:rPr>
            </w:pPr>
            <w:r w:rsidRPr="007F3B32">
              <w:rPr>
                <w:color w:val="000000"/>
              </w:rPr>
              <w:t>892.75</w:t>
            </w:r>
          </w:p>
        </w:tc>
      </w:tr>
      <w:tr w:rsidR="007F3B32" w:rsidRPr="00DA160E" w:rsidTr="007F3B32">
        <w:trPr>
          <w:jc w:val="center"/>
        </w:trPr>
        <w:tc>
          <w:tcPr>
            <w:tcW w:w="2534" w:type="dxa"/>
            <w:tcBorders>
              <w:top w:val="single" w:sz="4" w:space="0" w:color="000000"/>
              <w:bottom w:val="single" w:sz="4" w:space="0" w:color="auto"/>
            </w:tcBorders>
            <w:shd w:val="clear" w:color="auto" w:fill="auto"/>
            <w:vAlign w:val="bottom"/>
          </w:tcPr>
          <w:p w:rsidR="007F3B32" w:rsidRPr="00DA160E" w:rsidRDefault="007F3B32" w:rsidP="00DA6C2B">
            <w:pPr>
              <w:jc w:val="center"/>
              <w:rPr>
                <w:color w:val="000000"/>
              </w:rPr>
            </w:pPr>
            <w:r w:rsidRPr="00DA160E">
              <w:rPr>
                <w:color w:val="000000"/>
              </w:rPr>
              <w:t>8.28</w:t>
            </w:r>
          </w:p>
        </w:tc>
        <w:tc>
          <w:tcPr>
            <w:tcW w:w="1758" w:type="dxa"/>
            <w:tcBorders>
              <w:top w:val="single" w:sz="4" w:space="0" w:color="000000"/>
              <w:bottom w:val="single" w:sz="4" w:space="0" w:color="auto"/>
            </w:tcBorders>
            <w:vAlign w:val="bottom"/>
          </w:tcPr>
          <w:p w:rsidR="007F3B32" w:rsidRPr="00DA160E" w:rsidRDefault="007F3B32" w:rsidP="00DA6C2B">
            <w:pPr>
              <w:jc w:val="center"/>
              <w:rPr>
                <w:color w:val="000000"/>
              </w:rPr>
            </w:pPr>
            <w:r w:rsidRPr="00DA160E">
              <w:rPr>
                <w:color w:val="000000"/>
              </w:rPr>
              <w:t>2230.50</w:t>
            </w:r>
          </w:p>
        </w:tc>
        <w:tc>
          <w:tcPr>
            <w:tcW w:w="1758" w:type="dxa"/>
            <w:tcBorders>
              <w:top w:val="single" w:sz="4" w:space="0" w:color="000000"/>
              <w:bottom w:val="single" w:sz="4" w:space="0" w:color="auto"/>
            </w:tcBorders>
            <w:shd w:val="clear" w:color="auto" w:fill="auto"/>
            <w:vAlign w:val="bottom"/>
          </w:tcPr>
          <w:p w:rsidR="007F3B32" w:rsidRPr="007F3B32" w:rsidRDefault="007F3B32" w:rsidP="007F3B32">
            <w:pPr>
              <w:jc w:val="center"/>
              <w:rPr>
                <w:color w:val="000000"/>
              </w:rPr>
            </w:pPr>
            <w:r w:rsidRPr="007F3B32">
              <w:rPr>
                <w:color w:val="000000"/>
              </w:rPr>
              <w:t>1617.00</w:t>
            </w:r>
          </w:p>
        </w:tc>
      </w:tr>
      <w:tr w:rsidR="007F3B32" w:rsidRPr="00DA160E" w:rsidTr="007F3B32">
        <w:trPr>
          <w:jc w:val="center"/>
        </w:trPr>
        <w:tc>
          <w:tcPr>
            <w:tcW w:w="2534" w:type="dxa"/>
            <w:tcBorders>
              <w:top w:val="single" w:sz="4" w:space="0" w:color="auto"/>
              <w:bottom w:val="single" w:sz="4" w:space="0" w:color="000000"/>
            </w:tcBorders>
            <w:shd w:val="clear" w:color="auto" w:fill="auto"/>
            <w:vAlign w:val="bottom"/>
          </w:tcPr>
          <w:p w:rsidR="007F3B32" w:rsidRPr="00DA160E" w:rsidRDefault="007F3B32" w:rsidP="00DA6C2B">
            <w:pPr>
              <w:jc w:val="center"/>
              <w:rPr>
                <w:color w:val="000000"/>
                <w:lang w:val="id-ID"/>
              </w:rPr>
            </w:pPr>
            <w:r w:rsidRPr="00DA160E">
              <w:rPr>
                <w:i/>
                <w:color w:val="000000"/>
                <w:lang w:val="id-ID"/>
              </w:rPr>
              <w:t>rated</w:t>
            </w:r>
            <w:r w:rsidRPr="00DA160E">
              <w:rPr>
                <w:color w:val="000000"/>
                <w:lang w:val="id-ID"/>
              </w:rPr>
              <w:t>WS</w:t>
            </w:r>
          </w:p>
          <w:p w:rsidR="007F3B32" w:rsidRDefault="007F3B32" w:rsidP="00DA6C2B">
            <w:pPr>
              <w:jc w:val="center"/>
              <w:rPr>
                <w:color w:val="000000"/>
                <w:lang w:val="id-ID"/>
              </w:rPr>
            </w:pPr>
            <w:r>
              <w:rPr>
                <w:color w:val="000000"/>
                <w:lang w:val="id-ID"/>
              </w:rPr>
              <w:t>10.00</w:t>
            </w:r>
          </w:p>
          <w:p w:rsidR="007F3B32" w:rsidRPr="00DA160E" w:rsidRDefault="007F3B32" w:rsidP="00DA6C2B">
            <w:pPr>
              <w:jc w:val="center"/>
              <w:rPr>
                <w:color w:val="000000"/>
                <w:lang w:val="id-ID"/>
              </w:rPr>
            </w:pPr>
            <w:r>
              <w:rPr>
                <w:color w:val="000000"/>
                <w:lang w:val="id-ID"/>
              </w:rPr>
              <w:t>13.0</w:t>
            </w:r>
            <w:r w:rsidRPr="00DA160E">
              <w:rPr>
                <w:color w:val="000000"/>
                <w:lang w:val="id-ID"/>
              </w:rPr>
              <w:t>0</w:t>
            </w:r>
          </w:p>
        </w:tc>
        <w:tc>
          <w:tcPr>
            <w:tcW w:w="1758" w:type="dxa"/>
            <w:tcBorders>
              <w:top w:val="single" w:sz="4" w:space="0" w:color="auto"/>
              <w:bottom w:val="single" w:sz="4" w:space="0" w:color="000000"/>
            </w:tcBorders>
            <w:vAlign w:val="bottom"/>
          </w:tcPr>
          <w:p w:rsidR="007F3B32" w:rsidRPr="007F3B32" w:rsidRDefault="007F3B32" w:rsidP="00DA6C2B">
            <w:pPr>
              <w:jc w:val="center"/>
              <w:rPr>
                <w:color w:val="000000"/>
                <w:lang w:val="id-ID"/>
              </w:rPr>
            </w:pPr>
          </w:p>
          <w:p w:rsidR="007F3B32" w:rsidRPr="007F3B32" w:rsidRDefault="007F3B32" w:rsidP="007F3B32">
            <w:pPr>
              <w:jc w:val="center"/>
              <w:rPr>
                <w:color w:val="000000"/>
                <w:lang w:val="id-ID"/>
              </w:rPr>
            </w:pPr>
            <w:r w:rsidRPr="00DA160E">
              <w:rPr>
                <w:color w:val="000000"/>
              </w:rPr>
              <w:t>3430.00</w:t>
            </w:r>
          </w:p>
        </w:tc>
        <w:tc>
          <w:tcPr>
            <w:tcW w:w="1758" w:type="dxa"/>
            <w:tcBorders>
              <w:top w:val="single" w:sz="4" w:space="0" w:color="auto"/>
              <w:bottom w:val="single" w:sz="4" w:space="0" w:color="000000"/>
            </w:tcBorders>
            <w:shd w:val="clear" w:color="auto" w:fill="auto"/>
            <w:vAlign w:val="bottom"/>
          </w:tcPr>
          <w:p w:rsidR="007F3B32" w:rsidRPr="007F3B32" w:rsidRDefault="007F3B32" w:rsidP="00DA6C2B">
            <w:pPr>
              <w:jc w:val="center"/>
              <w:rPr>
                <w:color w:val="000000"/>
                <w:lang w:val="id-ID"/>
              </w:rPr>
            </w:pPr>
            <w:r w:rsidRPr="007F3B32">
              <w:rPr>
                <w:color w:val="000000"/>
                <w:lang w:val="id-ID"/>
              </w:rPr>
              <w:t>2332</w:t>
            </w:r>
            <w:r>
              <w:rPr>
                <w:color w:val="000000"/>
                <w:lang w:val="id-ID"/>
              </w:rPr>
              <w:t>.00</w:t>
            </w:r>
          </w:p>
          <w:p w:rsidR="007F3B32" w:rsidRPr="007F3B32" w:rsidRDefault="007F3B32" w:rsidP="00DA6C2B">
            <w:pPr>
              <w:jc w:val="center"/>
              <w:rPr>
                <w:color w:val="000000"/>
                <w:lang w:val="id-ID"/>
              </w:rPr>
            </w:pPr>
          </w:p>
        </w:tc>
      </w:tr>
    </w:tbl>
    <w:p w:rsidR="00961822" w:rsidRPr="009B71B8" w:rsidRDefault="00961822" w:rsidP="0062585A">
      <w:pPr>
        <w:spacing w:line="360" w:lineRule="auto"/>
        <w:jc w:val="both"/>
        <w:rPr>
          <w:lang w:val="id-ID"/>
        </w:rPr>
      </w:pPr>
    </w:p>
    <w:p w:rsidR="008F77DD" w:rsidRDefault="0062585A" w:rsidP="0062585A">
      <w:pPr>
        <w:spacing w:line="360" w:lineRule="auto"/>
        <w:jc w:val="both"/>
        <w:rPr>
          <w:lang w:val="id-ID"/>
        </w:rPr>
      </w:pPr>
      <w:r>
        <w:rPr>
          <w:lang w:val="id-ID"/>
        </w:rPr>
        <w:t xml:space="preserve">Kelebihan dari model </w:t>
      </w:r>
      <w:r w:rsidRPr="00405BB8">
        <w:rPr>
          <w:color w:val="000000"/>
          <w:lang w:val="id-ID"/>
        </w:rPr>
        <w:t>Gamesa G114-2.5MW</w:t>
      </w:r>
      <w:r>
        <w:rPr>
          <w:color w:val="000000"/>
          <w:lang w:val="id-ID"/>
        </w:rPr>
        <w:t xml:space="preserve"> adalah memiliki </w:t>
      </w:r>
      <w:r w:rsidRPr="00126891">
        <w:rPr>
          <w:i/>
          <w:color w:val="000000"/>
          <w:lang w:val="id-ID"/>
        </w:rPr>
        <w:t>cut-in</w:t>
      </w:r>
      <w:r>
        <w:rPr>
          <w:color w:val="000000"/>
          <w:lang w:val="id-ID"/>
        </w:rPr>
        <w:t xml:space="preserve"> dan </w:t>
      </w:r>
      <w:r w:rsidRPr="00126891">
        <w:rPr>
          <w:i/>
          <w:color w:val="000000"/>
          <w:lang w:val="id-ID"/>
        </w:rPr>
        <w:t>rated</w:t>
      </w:r>
      <w:r>
        <w:rPr>
          <w:color w:val="000000"/>
          <w:lang w:val="id-ID"/>
        </w:rPr>
        <w:t xml:space="preserve"> WS yang lebih kecil</w:t>
      </w:r>
      <w:r w:rsidR="00126891">
        <w:rPr>
          <w:color w:val="000000"/>
          <w:lang w:val="id-ID"/>
        </w:rPr>
        <w:t xml:space="preserve"> sebesar 2.0 m </w:t>
      </w:r>
      <w:r w:rsidR="00126891" w:rsidRPr="00DA160E">
        <w:rPr>
          <w:iCs/>
          <w:lang w:val="id-ID"/>
        </w:rPr>
        <w:t>s</w:t>
      </w:r>
      <w:r w:rsidR="00126891" w:rsidRPr="00DA160E">
        <w:rPr>
          <w:iCs/>
          <w:vertAlign w:val="superscript"/>
          <w:lang w:val="id-ID"/>
        </w:rPr>
        <w:t>–1</w:t>
      </w:r>
      <w:r w:rsidR="00126891">
        <w:rPr>
          <w:color w:val="000000"/>
          <w:lang w:val="id-ID"/>
        </w:rPr>
        <w:t xml:space="preserve">  dan 10.0 m </w:t>
      </w:r>
      <w:r w:rsidR="00126891" w:rsidRPr="00DA160E">
        <w:rPr>
          <w:iCs/>
          <w:lang w:val="id-ID"/>
        </w:rPr>
        <w:t>s</w:t>
      </w:r>
      <w:r w:rsidR="00126891" w:rsidRPr="00DA160E">
        <w:rPr>
          <w:iCs/>
          <w:vertAlign w:val="superscript"/>
          <w:lang w:val="id-ID"/>
        </w:rPr>
        <w:t>–1</w:t>
      </w:r>
      <w:r w:rsidR="00126891">
        <w:rPr>
          <w:iCs/>
          <w:lang w:val="id-ID"/>
        </w:rPr>
        <w:t xml:space="preserve">. Dengan asumsi kondisi angin rata-rata setiap tahun sebesar 8.28 </w:t>
      </w:r>
      <w:r w:rsidR="00126891">
        <w:rPr>
          <w:color w:val="000000"/>
          <w:lang w:val="id-ID"/>
        </w:rPr>
        <w:t xml:space="preserve">m </w:t>
      </w:r>
      <w:r w:rsidR="00126891" w:rsidRPr="00DA160E">
        <w:rPr>
          <w:iCs/>
          <w:lang w:val="id-ID"/>
        </w:rPr>
        <w:t>s</w:t>
      </w:r>
      <w:r w:rsidR="00126891" w:rsidRPr="00DA160E">
        <w:rPr>
          <w:iCs/>
          <w:vertAlign w:val="superscript"/>
          <w:lang w:val="id-ID"/>
        </w:rPr>
        <w:t>–1</w:t>
      </w:r>
      <w:r w:rsidR="00126891">
        <w:rPr>
          <w:iCs/>
          <w:lang w:val="id-ID"/>
        </w:rPr>
        <w:t xml:space="preserve">, model ini hanya membangkitkan energi listrik sebesar </w:t>
      </w:r>
      <w:r w:rsidR="00126891" w:rsidRPr="007F3B32">
        <w:rPr>
          <w:color w:val="000000"/>
        </w:rPr>
        <w:t>1617.00</w:t>
      </w:r>
      <w:r w:rsidR="00126891">
        <w:rPr>
          <w:color w:val="000000"/>
          <w:lang w:val="id-ID"/>
        </w:rPr>
        <w:t xml:space="preserve"> kW atau 1.6 MW.</w:t>
      </w:r>
    </w:p>
    <w:p w:rsidR="0062585A" w:rsidRPr="009B71B8" w:rsidRDefault="0062585A" w:rsidP="0062585A">
      <w:pPr>
        <w:spacing w:line="360" w:lineRule="auto"/>
        <w:ind w:firstLine="720"/>
        <w:jc w:val="both"/>
        <w:rPr>
          <w:lang w:val="id-ID"/>
        </w:rPr>
      </w:pPr>
    </w:p>
    <w:p w:rsidR="008F77DD" w:rsidRPr="009B71B8" w:rsidRDefault="008F77DD" w:rsidP="0062585A">
      <w:pPr>
        <w:spacing w:line="360" w:lineRule="auto"/>
        <w:jc w:val="both"/>
        <w:rPr>
          <w:b/>
          <w:lang w:val="id-ID"/>
        </w:rPr>
      </w:pPr>
      <w:r w:rsidRPr="009B71B8">
        <w:rPr>
          <w:b/>
          <w:lang w:val="id-ID"/>
        </w:rPr>
        <w:t xml:space="preserve">SIMPULAN </w:t>
      </w:r>
    </w:p>
    <w:p w:rsidR="008746E8" w:rsidRDefault="00B3653A" w:rsidP="00726361">
      <w:pPr>
        <w:spacing w:line="360" w:lineRule="auto"/>
        <w:ind w:firstLine="540"/>
        <w:jc w:val="both"/>
        <w:rPr>
          <w:lang w:val="id-ID"/>
        </w:rPr>
      </w:pPr>
      <w:r>
        <w:rPr>
          <w:lang w:val="id-ID"/>
        </w:rPr>
        <w:t>Kondisi</w:t>
      </w:r>
      <w:r w:rsidR="003E0209">
        <w:rPr>
          <w:lang w:val="id-ID"/>
        </w:rPr>
        <w:t xml:space="preserve"> meteorologi angin dengan rentang waktu yang cukup dibutuhkan dalam perencanaan instalasi turbin angin. Secara general </w:t>
      </w:r>
      <w:r w:rsidR="00CB0A8E">
        <w:rPr>
          <w:lang w:val="id-ID"/>
        </w:rPr>
        <w:t>keterbatasan data meteorologi dapat dipenuhi dari data satelit remote sensing.</w:t>
      </w:r>
      <w:r w:rsidR="004179FF">
        <w:rPr>
          <w:lang w:val="id-ID"/>
        </w:rPr>
        <w:t xml:space="preserve"> Karakteristik angin di wilayah Indonesia berhubungan dengan posisi geografis Indonesia. Potensi angin pada skala rendah untuk pembangkitan energi listrik.</w:t>
      </w:r>
      <w:r w:rsidR="00757AE6">
        <w:rPr>
          <w:lang w:val="id-ID"/>
        </w:rPr>
        <w:t xml:space="preserve"> </w:t>
      </w:r>
      <w:r w:rsidR="00B71CFE">
        <w:rPr>
          <w:lang w:val="id-ID"/>
        </w:rPr>
        <w:t xml:space="preserve">Diperlukan desain generator turbin angin </w:t>
      </w:r>
      <w:r w:rsidR="00C11C72">
        <w:rPr>
          <w:lang w:val="id-ID"/>
        </w:rPr>
        <w:t xml:space="preserve">dengan </w:t>
      </w:r>
      <w:r w:rsidR="00B71CFE">
        <w:rPr>
          <w:lang w:val="id-ID"/>
        </w:rPr>
        <w:t>mekanis yang spesifik</w:t>
      </w:r>
      <w:r w:rsidR="00C11C72">
        <w:rPr>
          <w:lang w:val="id-ID"/>
        </w:rPr>
        <w:t xml:space="preserve"> untuk wilayah Indonesia. </w:t>
      </w:r>
      <w:r w:rsidR="00757AE6">
        <w:rPr>
          <w:lang w:val="id-ID"/>
        </w:rPr>
        <w:t>Pola angin yang berubah arah dan kecepatan menurut musim</w:t>
      </w:r>
      <w:r w:rsidR="008635E2">
        <w:rPr>
          <w:lang w:val="id-ID"/>
        </w:rPr>
        <w:t xml:space="preserve"> membuat operasional dan perawatan turbin tinggi.</w:t>
      </w:r>
      <w:r w:rsidR="008E491F">
        <w:rPr>
          <w:lang w:val="id-ID"/>
        </w:rPr>
        <w:t xml:space="preserve"> Untuk mendapatkan </w:t>
      </w:r>
      <w:r w:rsidR="008E491F">
        <w:rPr>
          <w:lang w:val="id-ID"/>
        </w:rPr>
        <w:lastRenderedPageBreak/>
        <w:t>reabilitas operasional yang optimal</w:t>
      </w:r>
      <w:r w:rsidR="008746E8">
        <w:rPr>
          <w:lang w:val="id-ID"/>
        </w:rPr>
        <w:t xml:space="preserve"> sistem grid daya cadangan mungkin perlu diperhiutngkan.</w:t>
      </w:r>
    </w:p>
    <w:p w:rsidR="00DF1A87" w:rsidRDefault="00DF1A87" w:rsidP="00952A8B">
      <w:pPr>
        <w:spacing w:line="360" w:lineRule="auto"/>
        <w:rPr>
          <w:b/>
          <w:lang w:val="id-ID"/>
        </w:rPr>
      </w:pPr>
    </w:p>
    <w:p w:rsidR="00C93FE0" w:rsidRDefault="00C93FE0" w:rsidP="00952A8B">
      <w:pPr>
        <w:spacing w:line="360" w:lineRule="auto"/>
        <w:rPr>
          <w:b/>
          <w:lang w:val="id-ID"/>
        </w:rPr>
      </w:pPr>
      <w:r w:rsidRPr="00584D43">
        <w:rPr>
          <w:b/>
          <w:lang w:val="id-ID"/>
        </w:rPr>
        <w:t>DAFTAR PUSTAKA</w:t>
      </w:r>
    </w:p>
    <w:p w:rsidR="003D58C4" w:rsidRDefault="003D58C4" w:rsidP="00952A8B">
      <w:pPr>
        <w:spacing w:line="360" w:lineRule="auto"/>
        <w:rPr>
          <w:b/>
          <w:lang w:val="id-ID"/>
        </w:rPr>
      </w:pPr>
    </w:p>
    <w:p w:rsidR="00CF1996" w:rsidRDefault="00CF1996" w:rsidP="00952A8B">
      <w:pPr>
        <w:ind w:left="360" w:hanging="360"/>
        <w:jc w:val="both"/>
        <w:rPr>
          <w:noProof/>
          <w:lang w:val="id-ID"/>
        </w:rPr>
      </w:pPr>
      <w:r w:rsidRPr="00D37B50">
        <w:rPr>
          <w:noProof/>
          <w:lang w:val="id-ID"/>
        </w:rPr>
        <w:t xml:space="preserve">Archer, C. L., &amp; Jacobson, M. Z. (2005). Evaluation of global wind power. </w:t>
      </w:r>
      <w:r w:rsidRPr="00D37B50">
        <w:rPr>
          <w:i/>
          <w:noProof/>
          <w:lang w:val="id-ID"/>
        </w:rPr>
        <w:t>Journal of Geophysical Research: Atmospheres</w:t>
      </w:r>
      <w:r w:rsidRPr="00D37B50">
        <w:rPr>
          <w:noProof/>
          <w:lang w:val="id-ID"/>
        </w:rPr>
        <w:t>, 110(D12).</w:t>
      </w:r>
    </w:p>
    <w:p w:rsidR="00CF1996" w:rsidRDefault="00CF1996" w:rsidP="00952A8B">
      <w:pPr>
        <w:rPr>
          <w:lang w:val="id-ID"/>
        </w:rPr>
      </w:pPr>
    </w:p>
    <w:p w:rsidR="00CF1996" w:rsidRDefault="00CF1996" w:rsidP="00952A8B">
      <w:pPr>
        <w:ind w:left="360" w:hanging="360"/>
        <w:jc w:val="both"/>
        <w:rPr>
          <w:noProof/>
          <w:lang w:val="id-ID"/>
        </w:rPr>
      </w:pPr>
      <w:r w:rsidRPr="00BE6446">
        <w:rPr>
          <w:noProof/>
          <w:lang w:val="id-ID"/>
        </w:rPr>
        <w:t>Bazilian, M., Onyeji, I., Liebreich, M., MacGil</w:t>
      </w:r>
      <w:r>
        <w:rPr>
          <w:noProof/>
          <w:lang w:val="id-ID"/>
        </w:rPr>
        <w:t xml:space="preserve">l, I., Chase, J., Shah, J., </w:t>
      </w:r>
      <w:r w:rsidRPr="00BE6446">
        <w:rPr>
          <w:noProof/>
          <w:lang w:val="id-ID"/>
        </w:rPr>
        <w:t xml:space="preserve">&amp; Zhengrong, S. (2013). Re-considering the economics of photovoltaic power. </w:t>
      </w:r>
      <w:r w:rsidRPr="0050476C">
        <w:rPr>
          <w:i/>
          <w:noProof/>
          <w:lang w:val="id-ID"/>
        </w:rPr>
        <w:t>Renewable Energy</w:t>
      </w:r>
      <w:r w:rsidRPr="00BE6446">
        <w:rPr>
          <w:noProof/>
          <w:lang w:val="id-ID"/>
        </w:rPr>
        <w:t>, 53, 329-338.</w:t>
      </w:r>
    </w:p>
    <w:p w:rsidR="00CF1996" w:rsidRDefault="00CF1996" w:rsidP="00952A8B">
      <w:pPr>
        <w:rPr>
          <w:lang w:val="id-ID"/>
        </w:rPr>
      </w:pPr>
    </w:p>
    <w:p w:rsidR="00CF1996" w:rsidRDefault="00CF1996" w:rsidP="00952A8B">
      <w:pPr>
        <w:ind w:left="360" w:hanging="360"/>
        <w:jc w:val="both"/>
        <w:rPr>
          <w:noProof/>
          <w:lang w:val="id-ID"/>
        </w:rPr>
      </w:pPr>
      <w:r w:rsidRPr="00B5610B">
        <w:rPr>
          <w:noProof/>
          <w:lang w:val="id-ID"/>
        </w:rPr>
        <w:t xml:space="preserve">Betz, A. (2013). The maximum of the theoretically possible exploitation of wind by means of a wind motor. </w:t>
      </w:r>
      <w:r w:rsidRPr="008E6F6A">
        <w:rPr>
          <w:i/>
          <w:noProof/>
          <w:lang w:val="id-ID"/>
        </w:rPr>
        <w:t>Wind Engineering</w:t>
      </w:r>
      <w:r w:rsidRPr="00B5610B">
        <w:rPr>
          <w:noProof/>
          <w:lang w:val="id-ID"/>
        </w:rPr>
        <w:t>, 37(4), 441-446.</w:t>
      </w:r>
    </w:p>
    <w:p w:rsidR="00CF1996" w:rsidRDefault="00CF1996" w:rsidP="00952A8B">
      <w:pPr>
        <w:ind w:left="360" w:hanging="360"/>
        <w:jc w:val="both"/>
        <w:rPr>
          <w:noProof/>
          <w:lang w:val="id-ID"/>
        </w:rPr>
      </w:pPr>
    </w:p>
    <w:p w:rsidR="00CF1996" w:rsidRDefault="00CF1996" w:rsidP="00952A8B">
      <w:pPr>
        <w:ind w:left="360" w:hanging="360"/>
        <w:jc w:val="both"/>
        <w:rPr>
          <w:noProof/>
          <w:lang w:val="id-ID"/>
        </w:rPr>
      </w:pPr>
      <w:r w:rsidRPr="00A036B0">
        <w:rPr>
          <w:noProof/>
          <w:lang w:val="id-ID"/>
        </w:rPr>
        <w:t xml:space="preserve">Coyle, E. D., &amp; Simmons, R. A. (2014). </w:t>
      </w:r>
      <w:r w:rsidRPr="001D02F3">
        <w:rPr>
          <w:i/>
          <w:noProof/>
          <w:lang w:val="id-ID"/>
        </w:rPr>
        <w:t>Understanding the global energy crisis</w:t>
      </w:r>
      <w:r w:rsidRPr="00A036B0">
        <w:rPr>
          <w:noProof/>
          <w:lang w:val="id-ID"/>
        </w:rPr>
        <w:t xml:space="preserve"> (p. 318). Purdue University Press.</w:t>
      </w:r>
    </w:p>
    <w:p w:rsidR="00CF1996" w:rsidRDefault="00CF1996" w:rsidP="00952A8B">
      <w:pPr>
        <w:rPr>
          <w:lang w:val="id-ID"/>
        </w:rPr>
      </w:pPr>
    </w:p>
    <w:p w:rsidR="00CF1996" w:rsidRDefault="00CF1996" w:rsidP="00952A8B">
      <w:pPr>
        <w:ind w:left="360" w:hanging="360"/>
        <w:jc w:val="both"/>
        <w:rPr>
          <w:noProof/>
          <w:lang w:val="id-ID"/>
        </w:rPr>
      </w:pPr>
      <w:r w:rsidRPr="0041285E">
        <w:rPr>
          <w:noProof/>
          <w:lang w:val="id-ID"/>
        </w:rPr>
        <w:t xml:space="preserve">Dhanju, A., Whitaker, P., &amp; Kempton, W. (2008). Assessing offshore wind resources: An accessible methodology. </w:t>
      </w:r>
      <w:r w:rsidRPr="00D37B50">
        <w:rPr>
          <w:i/>
          <w:noProof/>
          <w:lang w:val="id-ID"/>
        </w:rPr>
        <w:t>Renewable Energy</w:t>
      </w:r>
      <w:r w:rsidRPr="0041285E">
        <w:rPr>
          <w:noProof/>
          <w:lang w:val="id-ID"/>
        </w:rPr>
        <w:t>, 33(1), 55-64.</w:t>
      </w:r>
    </w:p>
    <w:p w:rsidR="00CF1996" w:rsidRDefault="00CF1996" w:rsidP="00952A8B">
      <w:pPr>
        <w:rPr>
          <w:lang w:val="id-ID"/>
        </w:rPr>
      </w:pPr>
    </w:p>
    <w:p w:rsidR="00CF1996" w:rsidRDefault="00CF1996" w:rsidP="00952A8B">
      <w:pPr>
        <w:ind w:left="360" w:hanging="360"/>
        <w:jc w:val="both"/>
        <w:rPr>
          <w:noProof/>
          <w:lang w:val="id-ID"/>
        </w:rPr>
      </w:pPr>
      <w:r w:rsidRPr="00D82BE8">
        <w:rPr>
          <w:noProof/>
          <w:lang w:val="id-ID"/>
        </w:rPr>
        <w:t xml:space="preserve">Doolan, C. J., Moreau, D. J., &amp; Brooks, L. A. (2012). Wind turbine noise mechanisms and some concepts for its control. </w:t>
      </w:r>
      <w:r w:rsidRPr="00D409D8">
        <w:rPr>
          <w:i/>
          <w:noProof/>
          <w:lang w:val="id-ID"/>
        </w:rPr>
        <w:t>Acoustics Australia</w:t>
      </w:r>
      <w:r w:rsidRPr="00D82BE8">
        <w:rPr>
          <w:noProof/>
          <w:lang w:val="id-ID"/>
        </w:rPr>
        <w:t>, 40(1).</w:t>
      </w:r>
    </w:p>
    <w:p w:rsidR="000C4A8D" w:rsidRDefault="000C4A8D" w:rsidP="00952A8B">
      <w:pPr>
        <w:ind w:left="360" w:hanging="360"/>
        <w:jc w:val="both"/>
        <w:rPr>
          <w:noProof/>
          <w:lang w:val="id-ID"/>
        </w:rPr>
      </w:pPr>
    </w:p>
    <w:p w:rsidR="000C4A8D" w:rsidRPr="003B17DA" w:rsidRDefault="000C4A8D" w:rsidP="00952A8B">
      <w:pPr>
        <w:ind w:left="360" w:hanging="360"/>
        <w:jc w:val="both"/>
        <w:rPr>
          <w:noProof/>
          <w:lang w:val="id-ID"/>
        </w:rPr>
      </w:pPr>
      <w:r>
        <w:rPr>
          <w:noProof/>
          <w:lang w:val="id-ID"/>
        </w:rPr>
        <w:t>Fikri</w:t>
      </w:r>
      <w:r w:rsidRPr="00A90A32">
        <w:rPr>
          <w:noProof/>
          <w:lang w:val="id-ID"/>
        </w:rPr>
        <w:t xml:space="preserve">, M. B., &amp; Suryopratomo, I. K. (2013). </w:t>
      </w:r>
      <w:r w:rsidRPr="00E14F6B">
        <w:rPr>
          <w:i/>
          <w:noProof/>
          <w:lang w:val="id-ID"/>
        </w:rPr>
        <w:t>Perancangan sudu turbin angin berkecepatan rendah dengan variasi tip speed ratio menggunakan metode momentum elemen sudu</w:t>
      </w:r>
      <w:r w:rsidRPr="00A90A32">
        <w:rPr>
          <w:noProof/>
          <w:lang w:val="id-ID"/>
        </w:rPr>
        <w:t xml:space="preserve"> (Doctoral dissertation, Universitas Gadjah Mada).</w:t>
      </w:r>
    </w:p>
    <w:p w:rsidR="00CF1996" w:rsidRDefault="00CF1996" w:rsidP="00952A8B">
      <w:pPr>
        <w:ind w:left="360" w:hanging="360"/>
        <w:jc w:val="both"/>
        <w:rPr>
          <w:noProof/>
          <w:lang w:val="id-ID"/>
        </w:rPr>
      </w:pPr>
    </w:p>
    <w:p w:rsidR="00CF1996" w:rsidRDefault="00CF1996" w:rsidP="00952A8B">
      <w:pPr>
        <w:ind w:left="360" w:hanging="360"/>
        <w:jc w:val="both"/>
        <w:rPr>
          <w:noProof/>
          <w:lang w:val="id-ID"/>
        </w:rPr>
      </w:pPr>
      <w:r w:rsidRPr="00D82BE8">
        <w:rPr>
          <w:noProof/>
          <w:lang w:val="id-ID"/>
        </w:rPr>
        <w:t xml:space="preserve">Hansen, K. S., Barthelmie, R. J., Jensen, L. E., &amp; Sommer, A. (2012). The impact of turbulence intensity and atmospheric stability on power deficits due to wind turbine wakes at Horns Rev wind farm. </w:t>
      </w:r>
      <w:r w:rsidRPr="00D82BE8">
        <w:rPr>
          <w:i/>
          <w:noProof/>
          <w:lang w:val="id-ID"/>
        </w:rPr>
        <w:t>Wind Energy</w:t>
      </w:r>
      <w:r w:rsidRPr="00D82BE8">
        <w:rPr>
          <w:noProof/>
          <w:lang w:val="id-ID"/>
        </w:rPr>
        <w:t>, 15(1), 183-196.</w:t>
      </w:r>
    </w:p>
    <w:p w:rsidR="00CF1996" w:rsidRDefault="00CF1996" w:rsidP="00952A8B">
      <w:pPr>
        <w:rPr>
          <w:lang w:val="id-ID"/>
        </w:rPr>
      </w:pPr>
    </w:p>
    <w:p w:rsidR="00CF1996" w:rsidRDefault="00CF1996" w:rsidP="00952A8B">
      <w:pPr>
        <w:ind w:left="360" w:hanging="360"/>
        <w:jc w:val="both"/>
        <w:rPr>
          <w:noProof/>
          <w:lang w:val="id-ID"/>
        </w:rPr>
      </w:pPr>
      <w:r w:rsidRPr="00A908AD">
        <w:rPr>
          <w:noProof/>
          <w:lang w:val="id-ID"/>
        </w:rPr>
        <w:t xml:space="preserve">Jacobson, M. Z., &amp; Archer, C. L. (2012). </w:t>
      </w:r>
      <w:r w:rsidRPr="009C7FC9">
        <w:rPr>
          <w:i/>
          <w:noProof/>
          <w:lang w:val="id-ID"/>
        </w:rPr>
        <w:t>Saturation wind power potential and its implications for wind energy</w:t>
      </w:r>
      <w:r w:rsidRPr="00A908AD">
        <w:rPr>
          <w:noProof/>
          <w:lang w:val="id-ID"/>
        </w:rPr>
        <w:t>. Proceedings of the National Academy of Sciences.</w:t>
      </w:r>
    </w:p>
    <w:p w:rsidR="00CF1996" w:rsidRDefault="00CF1996" w:rsidP="00952A8B">
      <w:pPr>
        <w:rPr>
          <w:lang w:val="id-ID"/>
        </w:rPr>
      </w:pPr>
    </w:p>
    <w:p w:rsidR="00CF1996" w:rsidRDefault="00CF1996" w:rsidP="00952A8B">
      <w:pPr>
        <w:ind w:left="360" w:hanging="360"/>
        <w:jc w:val="both"/>
        <w:rPr>
          <w:noProof/>
          <w:lang w:val="id-ID"/>
        </w:rPr>
      </w:pPr>
      <w:r w:rsidRPr="00720D06">
        <w:rPr>
          <w:noProof/>
          <w:lang w:val="id-ID"/>
        </w:rPr>
        <w:t xml:space="preserve">Johnson, N., Krey, V., McCollum, D. L., Rao, S., Riahi, K., &amp; Rogelj, J. (2015). Stranded on a low-carbon planet: Implications of climate policy for the phase-out of coal-based power plants. </w:t>
      </w:r>
      <w:r w:rsidRPr="00372ED4">
        <w:rPr>
          <w:i/>
          <w:noProof/>
          <w:lang w:val="id-ID"/>
        </w:rPr>
        <w:t>Technological Forecasting and Social Change</w:t>
      </w:r>
      <w:r w:rsidRPr="00720D06">
        <w:rPr>
          <w:noProof/>
          <w:lang w:val="id-ID"/>
        </w:rPr>
        <w:t>, 90, 89-102.</w:t>
      </w:r>
    </w:p>
    <w:p w:rsidR="00CF1996" w:rsidRDefault="00CF1996" w:rsidP="00952A8B">
      <w:pPr>
        <w:ind w:left="360" w:hanging="360"/>
        <w:jc w:val="both"/>
        <w:rPr>
          <w:noProof/>
          <w:lang w:val="id-ID"/>
        </w:rPr>
      </w:pPr>
    </w:p>
    <w:p w:rsidR="00CF1996" w:rsidRDefault="00CF1996" w:rsidP="00952A8B">
      <w:pPr>
        <w:ind w:left="360" w:hanging="360"/>
        <w:jc w:val="both"/>
        <w:rPr>
          <w:noProof/>
          <w:lang w:val="id-ID"/>
        </w:rPr>
      </w:pPr>
      <w:r w:rsidRPr="00641A58">
        <w:rPr>
          <w:noProof/>
          <w:lang w:val="id-ID"/>
        </w:rPr>
        <w:t xml:space="preserve">Klocke, D., Brueck, M., Hohenegger, C., &amp; Stevens, B. (2017). Rediscovery of the doldrums in storm-resolving simulations over the tropical Atlantic. </w:t>
      </w:r>
      <w:r w:rsidRPr="00641A58">
        <w:rPr>
          <w:i/>
          <w:noProof/>
          <w:lang w:val="id-ID"/>
        </w:rPr>
        <w:t>Nature Geoscience</w:t>
      </w:r>
      <w:r w:rsidRPr="00641A58">
        <w:rPr>
          <w:noProof/>
          <w:lang w:val="id-ID"/>
        </w:rPr>
        <w:t>, 10(12), 891.</w:t>
      </w:r>
    </w:p>
    <w:p w:rsidR="00CF1996" w:rsidRDefault="00CF1996" w:rsidP="00952A8B">
      <w:pPr>
        <w:rPr>
          <w:lang w:val="id-ID"/>
        </w:rPr>
      </w:pPr>
    </w:p>
    <w:p w:rsidR="00CF1996" w:rsidRDefault="00CF1996" w:rsidP="00952A8B">
      <w:pPr>
        <w:ind w:left="360" w:hanging="360"/>
        <w:jc w:val="both"/>
        <w:rPr>
          <w:noProof/>
          <w:lang w:val="id-ID"/>
        </w:rPr>
      </w:pPr>
      <w:r w:rsidRPr="00CE261A">
        <w:rPr>
          <w:noProof/>
          <w:lang w:val="id-ID"/>
        </w:rPr>
        <w:t xml:space="preserve">Lei, M., Shiyan, L., Chuanwen, J., Hongling, L., &amp; Yan, Z. (2009). A review on the forecasting of wind speed and generated power. </w:t>
      </w:r>
      <w:r w:rsidRPr="006E6765">
        <w:rPr>
          <w:i/>
          <w:noProof/>
          <w:lang w:val="id-ID"/>
        </w:rPr>
        <w:t>Renewable and Sustainable Energy Reviews</w:t>
      </w:r>
      <w:r w:rsidRPr="00CE261A">
        <w:rPr>
          <w:noProof/>
          <w:lang w:val="id-ID"/>
        </w:rPr>
        <w:t>, 13(4), 915-920.</w:t>
      </w:r>
    </w:p>
    <w:p w:rsidR="00CF1996" w:rsidRDefault="00CF1996" w:rsidP="00952A8B">
      <w:pPr>
        <w:ind w:left="360" w:hanging="360"/>
        <w:jc w:val="both"/>
        <w:rPr>
          <w:noProof/>
          <w:lang w:val="id-ID"/>
        </w:rPr>
      </w:pPr>
    </w:p>
    <w:p w:rsidR="00CF1996" w:rsidRDefault="00CF1996" w:rsidP="00952A8B">
      <w:pPr>
        <w:ind w:left="360" w:hanging="360"/>
        <w:jc w:val="both"/>
        <w:rPr>
          <w:noProof/>
          <w:lang w:val="id-ID"/>
        </w:rPr>
      </w:pPr>
      <w:r w:rsidRPr="00B96FB6">
        <w:rPr>
          <w:noProof/>
          <w:lang w:val="id-ID"/>
        </w:rPr>
        <w:t xml:space="preserve">Lu, X., McElroy, M. B., &amp; Kiviluoma, J. (2009). </w:t>
      </w:r>
      <w:r w:rsidRPr="00B96FB6">
        <w:rPr>
          <w:i/>
          <w:noProof/>
          <w:lang w:val="id-ID"/>
        </w:rPr>
        <w:t>Global potential for wind-generated electricity</w:t>
      </w:r>
      <w:r w:rsidRPr="00B96FB6">
        <w:rPr>
          <w:noProof/>
          <w:lang w:val="id-ID"/>
        </w:rPr>
        <w:t>. Proceedings of the National Academy of Sciences, 106(27), 10933-10938.</w:t>
      </w:r>
    </w:p>
    <w:p w:rsidR="00CF1996" w:rsidRDefault="00CF1996" w:rsidP="00952A8B">
      <w:pPr>
        <w:ind w:left="360" w:hanging="360"/>
        <w:jc w:val="both"/>
        <w:rPr>
          <w:noProof/>
          <w:lang w:val="id-ID"/>
        </w:rPr>
      </w:pPr>
      <w:r w:rsidRPr="00EF29AD">
        <w:rPr>
          <w:noProof/>
          <w:lang w:val="id-ID"/>
        </w:rPr>
        <w:t xml:space="preserve">Lydia, M., Kumar, S. S., Selvakumar, A. I., &amp; Kumar, G. E. P. (2014). A comprehensive review on wind turbine power curve modeling techniques. </w:t>
      </w:r>
      <w:r w:rsidRPr="00D42F69">
        <w:rPr>
          <w:i/>
          <w:noProof/>
          <w:lang w:val="id-ID"/>
        </w:rPr>
        <w:t>Renewable and Sustainable Energy Reviews</w:t>
      </w:r>
      <w:r w:rsidRPr="00EF29AD">
        <w:rPr>
          <w:noProof/>
          <w:lang w:val="id-ID"/>
        </w:rPr>
        <w:t>, 30, 452-460.</w:t>
      </w:r>
    </w:p>
    <w:p w:rsidR="00CF1996" w:rsidRDefault="00CF1996" w:rsidP="00952A8B">
      <w:pPr>
        <w:ind w:left="360" w:hanging="360"/>
        <w:jc w:val="both"/>
        <w:rPr>
          <w:noProof/>
          <w:lang w:val="id-ID"/>
        </w:rPr>
      </w:pPr>
    </w:p>
    <w:p w:rsidR="00CF1996" w:rsidRDefault="00CF1996" w:rsidP="00952A8B">
      <w:pPr>
        <w:ind w:left="360" w:hanging="360"/>
        <w:jc w:val="both"/>
        <w:rPr>
          <w:noProof/>
          <w:lang w:val="id-ID"/>
        </w:rPr>
      </w:pPr>
      <w:r w:rsidRPr="00EF29AD">
        <w:rPr>
          <w:noProof/>
          <w:lang w:val="id-ID"/>
        </w:rPr>
        <w:t xml:space="preserve">Manwell, J. F., McGowan, J. G., &amp; Rogers, A. L. (2010). </w:t>
      </w:r>
      <w:r w:rsidRPr="00D42F69">
        <w:rPr>
          <w:i/>
          <w:noProof/>
          <w:lang w:val="id-ID"/>
        </w:rPr>
        <w:t>Wind energy explained: theory, design and application</w:t>
      </w:r>
      <w:r w:rsidRPr="00EF29AD">
        <w:rPr>
          <w:noProof/>
          <w:lang w:val="id-ID"/>
        </w:rPr>
        <w:t>. John Wiley &amp; Sons.</w:t>
      </w:r>
    </w:p>
    <w:p w:rsidR="00CF1996" w:rsidRDefault="00CF1996" w:rsidP="00952A8B">
      <w:pPr>
        <w:ind w:left="360" w:hanging="360"/>
        <w:jc w:val="both"/>
        <w:rPr>
          <w:noProof/>
          <w:lang w:val="id-ID"/>
        </w:rPr>
      </w:pPr>
    </w:p>
    <w:p w:rsidR="00CF1996" w:rsidRDefault="00CF1996" w:rsidP="00952A8B">
      <w:pPr>
        <w:ind w:left="360" w:hanging="360"/>
        <w:jc w:val="both"/>
        <w:rPr>
          <w:noProof/>
          <w:lang w:val="id-ID"/>
        </w:rPr>
      </w:pPr>
      <w:r w:rsidRPr="00D37B50">
        <w:rPr>
          <w:noProof/>
          <w:lang w:val="id-ID"/>
        </w:rPr>
        <w:t xml:space="preserve">Nicholson, S. E. (2018). The ITCZ and the seasonal cycle over equatorial Africa. </w:t>
      </w:r>
      <w:r w:rsidRPr="00D37B50">
        <w:rPr>
          <w:i/>
          <w:noProof/>
          <w:lang w:val="id-ID"/>
        </w:rPr>
        <w:t>Bulletin of the American Meteorological Society</w:t>
      </w:r>
      <w:r w:rsidRPr="00D37B50">
        <w:rPr>
          <w:noProof/>
          <w:lang w:val="id-ID"/>
        </w:rPr>
        <w:t>, 99(2), 337-348.</w:t>
      </w:r>
    </w:p>
    <w:p w:rsidR="00CF1996" w:rsidRDefault="00CF1996" w:rsidP="00952A8B">
      <w:pPr>
        <w:ind w:left="360" w:hanging="360"/>
        <w:jc w:val="both"/>
        <w:rPr>
          <w:noProof/>
          <w:lang w:val="id-ID"/>
        </w:rPr>
      </w:pPr>
    </w:p>
    <w:p w:rsidR="00CF1996" w:rsidRDefault="00CF1996" w:rsidP="00952A8B">
      <w:pPr>
        <w:ind w:left="360" w:hanging="360"/>
        <w:jc w:val="both"/>
        <w:rPr>
          <w:noProof/>
          <w:lang w:val="id-ID"/>
        </w:rPr>
      </w:pPr>
      <w:r w:rsidRPr="00A908AD">
        <w:rPr>
          <w:noProof/>
          <w:lang w:val="id-ID"/>
        </w:rPr>
        <w:t xml:space="preserve">Patel, M. R. (2005). </w:t>
      </w:r>
      <w:r w:rsidRPr="00154C3E">
        <w:rPr>
          <w:i/>
          <w:noProof/>
          <w:lang w:val="id-ID"/>
        </w:rPr>
        <w:t>Wind and solar power systems: design, analysis, and operation.</w:t>
      </w:r>
      <w:r w:rsidRPr="00A908AD">
        <w:rPr>
          <w:noProof/>
          <w:lang w:val="id-ID"/>
        </w:rPr>
        <w:t xml:space="preserve"> CRC press.</w:t>
      </w:r>
    </w:p>
    <w:p w:rsidR="00CF1996" w:rsidRDefault="00CF1996" w:rsidP="00952A8B">
      <w:pPr>
        <w:rPr>
          <w:lang w:val="id-ID"/>
        </w:rPr>
      </w:pPr>
    </w:p>
    <w:p w:rsidR="00CF1996" w:rsidRDefault="00CF1996" w:rsidP="00952A8B">
      <w:pPr>
        <w:ind w:left="360" w:hanging="360"/>
        <w:jc w:val="both"/>
        <w:rPr>
          <w:noProof/>
          <w:lang w:val="id-ID"/>
        </w:rPr>
      </w:pPr>
      <w:r>
        <w:rPr>
          <w:noProof/>
          <w:lang w:val="id-ID"/>
        </w:rPr>
        <w:t xml:space="preserve">Pusdatin </w:t>
      </w:r>
      <w:r w:rsidRPr="00243A73">
        <w:rPr>
          <w:noProof/>
          <w:lang w:val="id-ID"/>
        </w:rPr>
        <w:t xml:space="preserve">ESDM, </w:t>
      </w:r>
      <w:r>
        <w:rPr>
          <w:noProof/>
          <w:lang w:val="id-ID"/>
        </w:rPr>
        <w:t>(</w:t>
      </w:r>
      <w:r w:rsidRPr="00243A73">
        <w:rPr>
          <w:noProof/>
          <w:lang w:val="id-ID"/>
        </w:rPr>
        <w:t>2014</w:t>
      </w:r>
      <w:r>
        <w:rPr>
          <w:noProof/>
          <w:lang w:val="id-ID"/>
        </w:rPr>
        <w:t>)</w:t>
      </w:r>
      <w:r w:rsidRPr="00243A73">
        <w:rPr>
          <w:noProof/>
          <w:lang w:val="id-ID"/>
        </w:rPr>
        <w:t xml:space="preserve">, </w:t>
      </w:r>
      <w:r w:rsidRPr="00F276D0">
        <w:rPr>
          <w:i/>
          <w:noProof/>
          <w:lang w:val="id-ID"/>
        </w:rPr>
        <w:t>Pusat Data dan Teknologi Informasi (Pusdatin)</w:t>
      </w:r>
      <w:r w:rsidRPr="00243A73">
        <w:rPr>
          <w:noProof/>
          <w:lang w:val="id-ID"/>
        </w:rPr>
        <w:t xml:space="preserve"> Kementerian Energi dan Sumber Daya Mineral (ESDM).</w:t>
      </w:r>
    </w:p>
    <w:p w:rsidR="009E60AB" w:rsidRDefault="009E60AB" w:rsidP="00952A8B">
      <w:pPr>
        <w:ind w:left="360" w:hanging="360"/>
        <w:jc w:val="both"/>
        <w:rPr>
          <w:noProof/>
          <w:lang w:val="id-ID"/>
        </w:rPr>
      </w:pPr>
    </w:p>
    <w:p w:rsidR="009E60AB" w:rsidRDefault="009E60AB" w:rsidP="00952A8B">
      <w:pPr>
        <w:ind w:left="360" w:hanging="360"/>
        <w:jc w:val="both"/>
        <w:rPr>
          <w:noProof/>
          <w:lang w:val="id-ID"/>
        </w:rPr>
      </w:pPr>
      <w:r w:rsidRPr="00D8793E">
        <w:rPr>
          <w:noProof/>
          <w:lang w:val="id-ID"/>
        </w:rPr>
        <w:t xml:space="preserve">Pérez, J. M. P., Márquez, F. P. G., Tobias, A., &amp; Papaelias, M. (2013). Wind turbine reliability analysis. </w:t>
      </w:r>
      <w:r w:rsidRPr="008E6F6A">
        <w:rPr>
          <w:i/>
          <w:noProof/>
          <w:lang w:val="id-ID"/>
        </w:rPr>
        <w:t>Renewable and Sustainable Energy Reviews</w:t>
      </w:r>
      <w:r w:rsidRPr="00D8793E">
        <w:rPr>
          <w:noProof/>
          <w:lang w:val="id-ID"/>
        </w:rPr>
        <w:t>, 23, 463-472.</w:t>
      </w:r>
    </w:p>
    <w:p w:rsidR="009E60AB" w:rsidRDefault="009E60AB" w:rsidP="00952A8B">
      <w:pPr>
        <w:ind w:left="360" w:hanging="360"/>
        <w:jc w:val="both"/>
        <w:rPr>
          <w:noProof/>
          <w:lang w:val="id-ID"/>
        </w:rPr>
      </w:pPr>
    </w:p>
    <w:p w:rsidR="00CF1996" w:rsidRPr="008A197B" w:rsidRDefault="00CF1996" w:rsidP="00952A8B">
      <w:pPr>
        <w:ind w:left="360" w:hanging="360"/>
        <w:jc w:val="both"/>
        <w:rPr>
          <w:noProof/>
          <w:lang w:val="id-ID"/>
        </w:rPr>
      </w:pPr>
      <w:r w:rsidRPr="008A197B">
        <w:rPr>
          <w:noProof/>
          <w:lang w:val="id-ID"/>
        </w:rPr>
        <w:t xml:space="preserve">Ricciardulli, L., &amp; Wentz, F. J. (2015). A scatterometer geophysical model function for climate-quality winds: QuikSCAT Ku-2011. </w:t>
      </w:r>
      <w:r w:rsidRPr="008A197B">
        <w:rPr>
          <w:i/>
          <w:noProof/>
          <w:lang w:val="id-ID"/>
        </w:rPr>
        <w:t>Journal of Atmospheric and Oceanic Technology</w:t>
      </w:r>
      <w:r w:rsidRPr="008A197B">
        <w:rPr>
          <w:noProof/>
          <w:lang w:val="id-ID"/>
        </w:rPr>
        <w:t>, 32(10), 1829-1846.</w:t>
      </w:r>
    </w:p>
    <w:p w:rsidR="00CF1996" w:rsidRDefault="00CF1996" w:rsidP="00952A8B">
      <w:pPr>
        <w:rPr>
          <w:lang w:val="id-ID"/>
        </w:rPr>
      </w:pPr>
    </w:p>
    <w:p w:rsidR="00CF1996" w:rsidRDefault="00CF1996" w:rsidP="00952A8B">
      <w:pPr>
        <w:ind w:left="360" w:hanging="360"/>
        <w:jc w:val="both"/>
        <w:rPr>
          <w:noProof/>
          <w:lang w:val="id-ID"/>
        </w:rPr>
      </w:pPr>
      <w:r w:rsidRPr="00BB49B4">
        <w:rPr>
          <w:noProof/>
          <w:lang w:val="id-ID"/>
        </w:rPr>
        <w:t xml:space="preserve">Sacuta, N., Young, A., &amp; Worth, K. (2015). </w:t>
      </w:r>
      <w:r w:rsidRPr="001D02F3">
        <w:rPr>
          <w:i/>
          <w:noProof/>
          <w:lang w:val="id-ID"/>
        </w:rPr>
        <w:t>International Energy Agency (IEA) Greenhouse Gas (GHG) Weyburn-Midale CO₂ Monitoring and Storage Project</w:t>
      </w:r>
      <w:r w:rsidRPr="00BB49B4">
        <w:rPr>
          <w:noProof/>
          <w:lang w:val="id-ID"/>
        </w:rPr>
        <w:t>. Petroleum Technology Research Centre Incorporated, Saskatchewan (Canada).</w:t>
      </w:r>
    </w:p>
    <w:p w:rsidR="00CF1996" w:rsidRDefault="00CF1996" w:rsidP="00952A8B">
      <w:pPr>
        <w:ind w:left="360" w:hanging="360"/>
        <w:jc w:val="both"/>
        <w:rPr>
          <w:noProof/>
          <w:lang w:val="id-ID"/>
        </w:rPr>
      </w:pPr>
    </w:p>
    <w:p w:rsidR="00CF1996" w:rsidRDefault="00CF1996" w:rsidP="00952A8B">
      <w:pPr>
        <w:ind w:left="360" w:hanging="360"/>
        <w:jc w:val="both"/>
        <w:rPr>
          <w:noProof/>
          <w:lang w:val="id-ID"/>
        </w:rPr>
      </w:pPr>
      <w:r w:rsidRPr="00A64775">
        <w:rPr>
          <w:noProof/>
          <w:lang w:val="id-ID"/>
        </w:rPr>
        <w:t xml:space="preserve">Schubel, P. J., &amp; Crossley, R. J. (2012). Wind turbine blade design. </w:t>
      </w:r>
      <w:r w:rsidRPr="00A64775">
        <w:rPr>
          <w:i/>
          <w:noProof/>
          <w:lang w:val="id-ID"/>
        </w:rPr>
        <w:t>Energies</w:t>
      </w:r>
      <w:r w:rsidRPr="00A64775">
        <w:rPr>
          <w:noProof/>
          <w:lang w:val="id-ID"/>
        </w:rPr>
        <w:t>, 5(9), 3425-3449.</w:t>
      </w:r>
    </w:p>
    <w:p w:rsidR="00CF1996" w:rsidRDefault="00CF1996" w:rsidP="00952A8B">
      <w:pPr>
        <w:rPr>
          <w:lang w:val="id-ID"/>
        </w:rPr>
      </w:pPr>
    </w:p>
    <w:p w:rsidR="00CF1996" w:rsidRDefault="00CF1996" w:rsidP="00952A8B">
      <w:pPr>
        <w:ind w:left="360" w:hanging="360"/>
        <w:jc w:val="both"/>
        <w:rPr>
          <w:noProof/>
          <w:lang w:val="id-ID"/>
        </w:rPr>
      </w:pPr>
      <w:r w:rsidRPr="00C35C90">
        <w:rPr>
          <w:noProof/>
          <w:lang w:val="id-ID"/>
        </w:rPr>
        <w:t xml:space="preserve">Singh, R. K., &amp; Ahmed, M. R. (2013). Blade design and performance testing of a small wind turbine rotor for low wind speed applications. </w:t>
      </w:r>
      <w:r w:rsidRPr="00E70D2B">
        <w:rPr>
          <w:i/>
          <w:noProof/>
          <w:lang w:val="id-ID"/>
        </w:rPr>
        <w:t>Renewable Energy</w:t>
      </w:r>
      <w:r w:rsidRPr="00C35C90">
        <w:rPr>
          <w:noProof/>
          <w:lang w:val="id-ID"/>
        </w:rPr>
        <w:t>, 50, 812-819.</w:t>
      </w:r>
    </w:p>
    <w:p w:rsidR="00CF1996" w:rsidRDefault="00CF1996" w:rsidP="00952A8B">
      <w:pPr>
        <w:ind w:left="360" w:hanging="360"/>
        <w:jc w:val="both"/>
        <w:rPr>
          <w:noProof/>
          <w:lang w:val="id-ID"/>
        </w:rPr>
      </w:pPr>
    </w:p>
    <w:p w:rsidR="00CF1996" w:rsidRDefault="00CF1996" w:rsidP="00952A8B">
      <w:pPr>
        <w:ind w:left="360" w:hanging="360"/>
        <w:jc w:val="both"/>
        <w:rPr>
          <w:noProof/>
          <w:lang w:val="id-ID"/>
        </w:rPr>
      </w:pPr>
      <w:r w:rsidRPr="00D44460">
        <w:rPr>
          <w:noProof/>
          <w:lang w:val="id-ID"/>
        </w:rPr>
        <w:t xml:space="preserve">Şen, Z. (2013). Modified wind power formulation and its comparison with Betz limits. </w:t>
      </w:r>
      <w:r w:rsidRPr="008E6F6A">
        <w:rPr>
          <w:i/>
          <w:noProof/>
          <w:lang w:val="id-ID"/>
        </w:rPr>
        <w:t>International Journal of Energy Research</w:t>
      </w:r>
      <w:r w:rsidRPr="00D44460">
        <w:rPr>
          <w:noProof/>
          <w:lang w:val="id-ID"/>
        </w:rPr>
        <w:t>, 37(8), 959-963.</w:t>
      </w:r>
    </w:p>
    <w:p w:rsidR="00CF1996" w:rsidRDefault="00CF1996" w:rsidP="00952A8B">
      <w:pPr>
        <w:ind w:left="360" w:hanging="360"/>
        <w:jc w:val="both"/>
        <w:rPr>
          <w:noProof/>
          <w:lang w:val="id-ID"/>
        </w:rPr>
      </w:pPr>
    </w:p>
    <w:p w:rsidR="00D82BE8" w:rsidRDefault="00442027" w:rsidP="00952A8B">
      <w:pPr>
        <w:ind w:left="360" w:hanging="360"/>
        <w:jc w:val="both"/>
        <w:rPr>
          <w:noProof/>
          <w:lang w:val="id-ID"/>
        </w:rPr>
      </w:pPr>
      <w:r w:rsidRPr="00442027">
        <w:rPr>
          <w:noProof/>
          <w:lang w:val="id-ID"/>
        </w:rPr>
        <w:t xml:space="preserve">Yin, X., Wang, Z., Song, Q., Huang, Y., &amp; Zhang, R. (2017). Estimate of Ocean Wind Vectors Inside Tropical Cyclones From Polarimetric Radiometer. IEEE </w:t>
      </w:r>
      <w:r w:rsidRPr="00442027">
        <w:rPr>
          <w:i/>
          <w:noProof/>
          <w:lang w:val="id-ID"/>
        </w:rPr>
        <w:t>Journal of Selected Topics in Applied Earth Observations and Remote Sensing</w:t>
      </w:r>
      <w:r w:rsidRPr="00442027">
        <w:rPr>
          <w:noProof/>
          <w:lang w:val="id-ID"/>
        </w:rPr>
        <w:t>, 10(5), 1701-1714.</w:t>
      </w:r>
    </w:p>
    <w:sectPr w:rsidR="00D82BE8" w:rsidSect="0008711A">
      <w:headerReference w:type="default" r:id="rId10"/>
      <w:type w:val="continuous"/>
      <w:pgSz w:w="11907" w:h="16840" w:code="9"/>
      <w:pgMar w:top="1701" w:right="1701" w:bottom="1701" w:left="1701" w:header="1134" w:footer="720"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97C" w:rsidRDefault="0051097C" w:rsidP="008C2115">
      <w:r>
        <w:separator/>
      </w:r>
    </w:p>
  </w:endnote>
  <w:endnote w:type="continuationSeparator" w:id="0">
    <w:p w:rsidR="0051097C" w:rsidRDefault="0051097C" w:rsidP="008C2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97C" w:rsidRDefault="0051097C" w:rsidP="008C2115">
      <w:r>
        <w:separator/>
      </w:r>
    </w:p>
  </w:footnote>
  <w:footnote w:type="continuationSeparator" w:id="0">
    <w:p w:rsidR="0051097C" w:rsidRDefault="0051097C" w:rsidP="008C2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93329"/>
      <w:docPartObj>
        <w:docPartGallery w:val="Page Numbers (Top of Page)"/>
        <w:docPartUnique/>
      </w:docPartObj>
    </w:sdtPr>
    <w:sdtContent>
      <w:p w:rsidR="008C2115" w:rsidRDefault="008645E2">
        <w:pPr>
          <w:pStyle w:val="Header"/>
          <w:jc w:val="right"/>
        </w:pPr>
        <w:fldSimple w:instr=" PAGE   \* MERGEFORMAT ">
          <w:r w:rsidR="000C5B3A">
            <w:rPr>
              <w:noProof/>
            </w:rPr>
            <w:t>6</w:t>
          </w:r>
        </w:fldSimple>
      </w:p>
    </w:sdtContent>
  </w:sdt>
  <w:p w:rsidR="008C2115" w:rsidRDefault="008C21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8A0"/>
    <w:multiLevelType w:val="multilevel"/>
    <w:tmpl w:val="361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F278E"/>
    <w:multiLevelType w:val="multilevel"/>
    <w:tmpl w:val="8814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3F01"/>
  <w:defaultTabStop w:val="720"/>
  <w:characterSpacingControl w:val="doNotCompress"/>
  <w:footnotePr>
    <w:footnote w:id="-1"/>
    <w:footnote w:id="0"/>
  </w:footnotePr>
  <w:endnotePr>
    <w:endnote w:id="-1"/>
    <w:endnote w:id="0"/>
  </w:endnotePr>
  <w:compat/>
  <w:rsids>
    <w:rsidRoot w:val="0064439E"/>
    <w:rsid w:val="00005B54"/>
    <w:rsid w:val="00021D6C"/>
    <w:rsid w:val="00022A6B"/>
    <w:rsid w:val="000255E0"/>
    <w:rsid w:val="00027483"/>
    <w:rsid w:val="0003216E"/>
    <w:rsid w:val="00041045"/>
    <w:rsid w:val="00046C25"/>
    <w:rsid w:val="0005100A"/>
    <w:rsid w:val="00056D3F"/>
    <w:rsid w:val="00057919"/>
    <w:rsid w:val="00065DB6"/>
    <w:rsid w:val="0006682E"/>
    <w:rsid w:val="00075AB2"/>
    <w:rsid w:val="000832D7"/>
    <w:rsid w:val="0008333C"/>
    <w:rsid w:val="00085D66"/>
    <w:rsid w:val="0008711A"/>
    <w:rsid w:val="00095C4E"/>
    <w:rsid w:val="00096093"/>
    <w:rsid w:val="00097A2C"/>
    <w:rsid w:val="000A28A7"/>
    <w:rsid w:val="000A2D69"/>
    <w:rsid w:val="000B4DBD"/>
    <w:rsid w:val="000C4A8D"/>
    <w:rsid w:val="000C5B3A"/>
    <w:rsid w:val="000C7FA9"/>
    <w:rsid w:val="000D1D48"/>
    <w:rsid w:val="000D241A"/>
    <w:rsid w:val="000D5DDC"/>
    <w:rsid w:val="000D69EC"/>
    <w:rsid w:val="000E3AF7"/>
    <w:rsid w:val="000E3EFA"/>
    <w:rsid w:val="000E4663"/>
    <w:rsid w:val="000E66A6"/>
    <w:rsid w:val="000E6AA4"/>
    <w:rsid w:val="000F17FB"/>
    <w:rsid w:val="00103C3C"/>
    <w:rsid w:val="00105ACB"/>
    <w:rsid w:val="00114232"/>
    <w:rsid w:val="00125156"/>
    <w:rsid w:val="00126891"/>
    <w:rsid w:val="001327EA"/>
    <w:rsid w:val="00141FC2"/>
    <w:rsid w:val="001469DC"/>
    <w:rsid w:val="00151489"/>
    <w:rsid w:val="00154649"/>
    <w:rsid w:val="00154C3E"/>
    <w:rsid w:val="0016578D"/>
    <w:rsid w:val="00175013"/>
    <w:rsid w:val="001824B0"/>
    <w:rsid w:val="00182656"/>
    <w:rsid w:val="00183B1E"/>
    <w:rsid w:val="001861E6"/>
    <w:rsid w:val="00186B00"/>
    <w:rsid w:val="00186EB4"/>
    <w:rsid w:val="00190F9F"/>
    <w:rsid w:val="00197329"/>
    <w:rsid w:val="001A1800"/>
    <w:rsid w:val="001A6A77"/>
    <w:rsid w:val="001B388E"/>
    <w:rsid w:val="001B7AA8"/>
    <w:rsid w:val="001C78FF"/>
    <w:rsid w:val="001C7A09"/>
    <w:rsid w:val="001D02F3"/>
    <w:rsid w:val="001D526E"/>
    <w:rsid w:val="001D6BAC"/>
    <w:rsid w:val="002000D2"/>
    <w:rsid w:val="00201DAC"/>
    <w:rsid w:val="00206E83"/>
    <w:rsid w:val="002118B3"/>
    <w:rsid w:val="00212E60"/>
    <w:rsid w:val="00216087"/>
    <w:rsid w:val="00220492"/>
    <w:rsid w:val="00226516"/>
    <w:rsid w:val="00230A59"/>
    <w:rsid w:val="00231D38"/>
    <w:rsid w:val="002359F9"/>
    <w:rsid w:val="00237258"/>
    <w:rsid w:val="0024341E"/>
    <w:rsid w:val="0024366C"/>
    <w:rsid w:val="00243A73"/>
    <w:rsid w:val="00244605"/>
    <w:rsid w:val="00246498"/>
    <w:rsid w:val="002538F5"/>
    <w:rsid w:val="00257A6E"/>
    <w:rsid w:val="0026703C"/>
    <w:rsid w:val="002842DE"/>
    <w:rsid w:val="002B3D13"/>
    <w:rsid w:val="002B5B10"/>
    <w:rsid w:val="002B6058"/>
    <w:rsid w:val="002D0949"/>
    <w:rsid w:val="002E4D22"/>
    <w:rsid w:val="002E6061"/>
    <w:rsid w:val="002E6D6C"/>
    <w:rsid w:val="002F00FE"/>
    <w:rsid w:val="002F152C"/>
    <w:rsid w:val="002F2AF2"/>
    <w:rsid w:val="002F537D"/>
    <w:rsid w:val="002F57AD"/>
    <w:rsid w:val="00313697"/>
    <w:rsid w:val="00315C0F"/>
    <w:rsid w:val="003255DD"/>
    <w:rsid w:val="003258AF"/>
    <w:rsid w:val="00330022"/>
    <w:rsid w:val="00336246"/>
    <w:rsid w:val="00341348"/>
    <w:rsid w:val="00341F67"/>
    <w:rsid w:val="00345C84"/>
    <w:rsid w:val="003524E1"/>
    <w:rsid w:val="003575AC"/>
    <w:rsid w:val="00371095"/>
    <w:rsid w:val="00372ED4"/>
    <w:rsid w:val="0037566C"/>
    <w:rsid w:val="00376ACA"/>
    <w:rsid w:val="00383267"/>
    <w:rsid w:val="003856EB"/>
    <w:rsid w:val="00392D83"/>
    <w:rsid w:val="003A0050"/>
    <w:rsid w:val="003A1D88"/>
    <w:rsid w:val="003A2D9E"/>
    <w:rsid w:val="003A5176"/>
    <w:rsid w:val="003B17DA"/>
    <w:rsid w:val="003B235F"/>
    <w:rsid w:val="003B5E46"/>
    <w:rsid w:val="003D017C"/>
    <w:rsid w:val="003D58C4"/>
    <w:rsid w:val="003D7515"/>
    <w:rsid w:val="003E0209"/>
    <w:rsid w:val="003F2B5F"/>
    <w:rsid w:val="003F5BE9"/>
    <w:rsid w:val="00405BB8"/>
    <w:rsid w:val="0041053F"/>
    <w:rsid w:val="0041285E"/>
    <w:rsid w:val="0041648A"/>
    <w:rsid w:val="004179FF"/>
    <w:rsid w:val="004228C1"/>
    <w:rsid w:val="004229F2"/>
    <w:rsid w:val="004232F4"/>
    <w:rsid w:val="004253C2"/>
    <w:rsid w:val="00425406"/>
    <w:rsid w:val="00432BD6"/>
    <w:rsid w:val="004347AA"/>
    <w:rsid w:val="00442027"/>
    <w:rsid w:val="004508E9"/>
    <w:rsid w:val="004522AB"/>
    <w:rsid w:val="00453C22"/>
    <w:rsid w:val="00457CF9"/>
    <w:rsid w:val="00465B8D"/>
    <w:rsid w:val="0048566D"/>
    <w:rsid w:val="004861FC"/>
    <w:rsid w:val="00487076"/>
    <w:rsid w:val="00490FE3"/>
    <w:rsid w:val="004973F0"/>
    <w:rsid w:val="004A4F48"/>
    <w:rsid w:val="004B1DB4"/>
    <w:rsid w:val="004B3C87"/>
    <w:rsid w:val="004B632F"/>
    <w:rsid w:val="004B766E"/>
    <w:rsid w:val="004C0858"/>
    <w:rsid w:val="004C70DB"/>
    <w:rsid w:val="004D2A2E"/>
    <w:rsid w:val="004E1C83"/>
    <w:rsid w:val="004E468C"/>
    <w:rsid w:val="004E534D"/>
    <w:rsid w:val="004E6C1A"/>
    <w:rsid w:val="005004D1"/>
    <w:rsid w:val="005005B4"/>
    <w:rsid w:val="00503806"/>
    <w:rsid w:val="0050476C"/>
    <w:rsid w:val="0051097C"/>
    <w:rsid w:val="005111FE"/>
    <w:rsid w:val="00511CB5"/>
    <w:rsid w:val="005129E0"/>
    <w:rsid w:val="00527357"/>
    <w:rsid w:val="005320FE"/>
    <w:rsid w:val="00541AA4"/>
    <w:rsid w:val="00542FC9"/>
    <w:rsid w:val="00543990"/>
    <w:rsid w:val="00551553"/>
    <w:rsid w:val="00551A9A"/>
    <w:rsid w:val="005549C4"/>
    <w:rsid w:val="00555579"/>
    <w:rsid w:val="00560B08"/>
    <w:rsid w:val="00560BD0"/>
    <w:rsid w:val="00565CC2"/>
    <w:rsid w:val="00573B65"/>
    <w:rsid w:val="00584D43"/>
    <w:rsid w:val="00591246"/>
    <w:rsid w:val="00595DF9"/>
    <w:rsid w:val="005A09CB"/>
    <w:rsid w:val="005A315F"/>
    <w:rsid w:val="005A3293"/>
    <w:rsid w:val="005A3686"/>
    <w:rsid w:val="005A3B3A"/>
    <w:rsid w:val="005B39D3"/>
    <w:rsid w:val="005C1611"/>
    <w:rsid w:val="005C2285"/>
    <w:rsid w:val="005C3A1C"/>
    <w:rsid w:val="005C5664"/>
    <w:rsid w:val="005C739E"/>
    <w:rsid w:val="005D0C28"/>
    <w:rsid w:val="005D3EF1"/>
    <w:rsid w:val="005E3B1A"/>
    <w:rsid w:val="005E4D8D"/>
    <w:rsid w:val="005F148C"/>
    <w:rsid w:val="005F6F4C"/>
    <w:rsid w:val="0060017C"/>
    <w:rsid w:val="0060084B"/>
    <w:rsid w:val="00603279"/>
    <w:rsid w:val="006063DD"/>
    <w:rsid w:val="00612430"/>
    <w:rsid w:val="00613355"/>
    <w:rsid w:val="0062585A"/>
    <w:rsid w:val="006274A0"/>
    <w:rsid w:val="006277E7"/>
    <w:rsid w:val="006350D6"/>
    <w:rsid w:val="0063650A"/>
    <w:rsid w:val="00641A58"/>
    <w:rsid w:val="006421E0"/>
    <w:rsid w:val="0064439E"/>
    <w:rsid w:val="00651FC6"/>
    <w:rsid w:val="00652CC9"/>
    <w:rsid w:val="00655260"/>
    <w:rsid w:val="00656E53"/>
    <w:rsid w:val="0066356E"/>
    <w:rsid w:val="00672B64"/>
    <w:rsid w:val="00677396"/>
    <w:rsid w:val="00680172"/>
    <w:rsid w:val="006917B7"/>
    <w:rsid w:val="00693A34"/>
    <w:rsid w:val="00695087"/>
    <w:rsid w:val="006A15F7"/>
    <w:rsid w:val="006A26E5"/>
    <w:rsid w:val="006A6022"/>
    <w:rsid w:val="006C14EE"/>
    <w:rsid w:val="006C4DBE"/>
    <w:rsid w:val="006E2F8C"/>
    <w:rsid w:val="006E4928"/>
    <w:rsid w:val="006E6765"/>
    <w:rsid w:val="006F065F"/>
    <w:rsid w:val="006F2744"/>
    <w:rsid w:val="006F73B2"/>
    <w:rsid w:val="00703677"/>
    <w:rsid w:val="00714352"/>
    <w:rsid w:val="00717C82"/>
    <w:rsid w:val="007204D8"/>
    <w:rsid w:val="00720D06"/>
    <w:rsid w:val="007221E1"/>
    <w:rsid w:val="00725648"/>
    <w:rsid w:val="00726361"/>
    <w:rsid w:val="00727C5D"/>
    <w:rsid w:val="00727D81"/>
    <w:rsid w:val="0073038C"/>
    <w:rsid w:val="0073108F"/>
    <w:rsid w:val="00734BEB"/>
    <w:rsid w:val="00741449"/>
    <w:rsid w:val="00746260"/>
    <w:rsid w:val="00757AE6"/>
    <w:rsid w:val="00760138"/>
    <w:rsid w:val="00763DBA"/>
    <w:rsid w:val="007806E9"/>
    <w:rsid w:val="00792357"/>
    <w:rsid w:val="00796E01"/>
    <w:rsid w:val="007A49C1"/>
    <w:rsid w:val="007B2E2A"/>
    <w:rsid w:val="007B650F"/>
    <w:rsid w:val="007C05B0"/>
    <w:rsid w:val="007C69B8"/>
    <w:rsid w:val="007D0664"/>
    <w:rsid w:val="007D2B11"/>
    <w:rsid w:val="007E7DCB"/>
    <w:rsid w:val="007F2F73"/>
    <w:rsid w:val="007F3B32"/>
    <w:rsid w:val="00801CE9"/>
    <w:rsid w:val="00803BE7"/>
    <w:rsid w:val="00810920"/>
    <w:rsid w:val="008121C1"/>
    <w:rsid w:val="00834193"/>
    <w:rsid w:val="00840D45"/>
    <w:rsid w:val="00840EE3"/>
    <w:rsid w:val="00845559"/>
    <w:rsid w:val="008506AF"/>
    <w:rsid w:val="0085249D"/>
    <w:rsid w:val="0085658F"/>
    <w:rsid w:val="00856CEA"/>
    <w:rsid w:val="00857907"/>
    <w:rsid w:val="008635E2"/>
    <w:rsid w:val="008645E2"/>
    <w:rsid w:val="0086466F"/>
    <w:rsid w:val="00864D52"/>
    <w:rsid w:val="008703BE"/>
    <w:rsid w:val="008746E8"/>
    <w:rsid w:val="00881B67"/>
    <w:rsid w:val="00884297"/>
    <w:rsid w:val="00886EF0"/>
    <w:rsid w:val="008917CC"/>
    <w:rsid w:val="0089539C"/>
    <w:rsid w:val="008A197B"/>
    <w:rsid w:val="008A25E1"/>
    <w:rsid w:val="008A56F6"/>
    <w:rsid w:val="008B4A09"/>
    <w:rsid w:val="008B78D6"/>
    <w:rsid w:val="008C2115"/>
    <w:rsid w:val="008C4596"/>
    <w:rsid w:val="008D3571"/>
    <w:rsid w:val="008E491F"/>
    <w:rsid w:val="008E6F6A"/>
    <w:rsid w:val="008F05F4"/>
    <w:rsid w:val="008F13D1"/>
    <w:rsid w:val="008F5806"/>
    <w:rsid w:val="008F6602"/>
    <w:rsid w:val="008F71F8"/>
    <w:rsid w:val="008F77DD"/>
    <w:rsid w:val="009007CA"/>
    <w:rsid w:val="00901005"/>
    <w:rsid w:val="00901966"/>
    <w:rsid w:val="009019D4"/>
    <w:rsid w:val="009041DC"/>
    <w:rsid w:val="00905B83"/>
    <w:rsid w:val="00922C70"/>
    <w:rsid w:val="009309C9"/>
    <w:rsid w:val="00930C15"/>
    <w:rsid w:val="00930F87"/>
    <w:rsid w:val="00933131"/>
    <w:rsid w:val="00946D74"/>
    <w:rsid w:val="009470A9"/>
    <w:rsid w:val="009511F6"/>
    <w:rsid w:val="00951D03"/>
    <w:rsid w:val="00952A8B"/>
    <w:rsid w:val="0096153B"/>
    <w:rsid w:val="00961822"/>
    <w:rsid w:val="0096248A"/>
    <w:rsid w:val="00971754"/>
    <w:rsid w:val="00973F69"/>
    <w:rsid w:val="00983AFF"/>
    <w:rsid w:val="009864BD"/>
    <w:rsid w:val="009868D5"/>
    <w:rsid w:val="00986A39"/>
    <w:rsid w:val="00993F14"/>
    <w:rsid w:val="00994636"/>
    <w:rsid w:val="009A3EF7"/>
    <w:rsid w:val="009B6460"/>
    <w:rsid w:val="009B71B8"/>
    <w:rsid w:val="009C03EF"/>
    <w:rsid w:val="009C1194"/>
    <w:rsid w:val="009C7FC9"/>
    <w:rsid w:val="009D2ED6"/>
    <w:rsid w:val="009D3B72"/>
    <w:rsid w:val="009D41FE"/>
    <w:rsid w:val="009D65A1"/>
    <w:rsid w:val="009E14EC"/>
    <w:rsid w:val="009E5A8A"/>
    <w:rsid w:val="009E60AB"/>
    <w:rsid w:val="009F5605"/>
    <w:rsid w:val="009F5A5E"/>
    <w:rsid w:val="00A02BFB"/>
    <w:rsid w:val="00A036B0"/>
    <w:rsid w:val="00A10E20"/>
    <w:rsid w:val="00A1260F"/>
    <w:rsid w:val="00A13554"/>
    <w:rsid w:val="00A21615"/>
    <w:rsid w:val="00A31777"/>
    <w:rsid w:val="00A37987"/>
    <w:rsid w:val="00A45BA2"/>
    <w:rsid w:val="00A45BAC"/>
    <w:rsid w:val="00A47841"/>
    <w:rsid w:val="00A53F00"/>
    <w:rsid w:val="00A54A80"/>
    <w:rsid w:val="00A55728"/>
    <w:rsid w:val="00A56510"/>
    <w:rsid w:val="00A620DA"/>
    <w:rsid w:val="00A64775"/>
    <w:rsid w:val="00A67310"/>
    <w:rsid w:val="00A741D7"/>
    <w:rsid w:val="00A82B7F"/>
    <w:rsid w:val="00A85708"/>
    <w:rsid w:val="00A90245"/>
    <w:rsid w:val="00A908AD"/>
    <w:rsid w:val="00A90A32"/>
    <w:rsid w:val="00A93325"/>
    <w:rsid w:val="00A948DB"/>
    <w:rsid w:val="00A961D0"/>
    <w:rsid w:val="00AA61ED"/>
    <w:rsid w:val="00AB0AFA"/>
    <w:rsid w:val="00AB1242"/>
    <w:rsid w:val="00AB3D37"/>
    <w:rsid w:val="00AB60BB"/>
    <w:rsid w:val="00AC21D8"/>
    <w:rsid w:val="00AC3096"/>
    <w:rsid w:val="00AC34E7"/>
    <w:rsid w:val="00AD0FAA"/>
    <w:rsid w:val="00AD291E"/>
    <w:rsid w:val="00AD68AD"/>
    <w:rsid w:val="00AD6F5F"/>
    <w:rsid w:val="00AF09BC"/>
    <w:rsid w:val="00AF573A"/>
    <w:rsid w:val="00B0087F"/>
    <w:rsid w:val="00B048FE"/>
    <w:rsid w:val="00B050EB"/>
    <w:rsid w:val="00B10FB6"/>
    <w:rsid w:val="00B12945"/>
    <w:rsid w:val="00B13DEA"/>
    <w:rsid w:val="00B15D25"/>
    <w:rsid w:val="00B16E47"/>
    <w:rsid w:val="00B1734E"/>
    <w:rsid w:val="00B24AB0"/>
    <w:rsid w:val="00B341A2"/>
    <w:rsid w:val="00B35025"/>
    <w:rsid w:val="00B3584F"/>
    <w:rsid w:val="00B3653A"/>
    <w:rsid w:val="00B4176E"/>
    <w:rsid w:val="00B44566"/>
    <w:rsid w:val="00B475D6"/>
    <w:rsid w:val="00B52CFA"/>
    <w:rsid w:val="00B5610B"/>
    <w:rsid w:val="00B63E64"/>
    <w:rsid w:val="00B6441A"/>
    <w:rsid w:val="00B67B2F"/>
    <w:rsid w:val="00B71CFE"/>
    <w:rsid w:val="00B71FFE"/>
    <w:rsid w:val="00B730F2"/>
    <w:rsid w:val="00B757CA"/>
    <w:rsid w:val="00B928D9"/>
    <w:rsid w:val="00B96FB6"/>
    <w:rsid w:val="00B97E77"/>
    <w:rsid w:val="00BA18F0"/>
    <w:rsid w:val="00BA7574"/>
    <w:rsid w:val="00BB2768"/>
    <w:rsid w:val="00BB384F"/>
    <w:rsid w:val="00BB49B4"/>
    <w:rsid w:val="00BC44BA"/>
    <w:rsid w:val="00BD061B"/>
    <w:rsid w:val="00BD0961"/>
    <w:rsid w:val="00BD4921"/>
    <w:rsid w:val="00BE3326"/>
    <w:rsid w:val="00BE4F18"/>
    <w:rsid w:val="00BE6446"/>
    <w:rsid w:val="00BF55B1"/>
    <w:rsid w:val="00C058CD"/>
    <w:rsid w:val="00C11C72"/>
    <w:rsid w:val="00C2250A"/>
    <w:rsid w:val="00C234ED"/>
    <w:rsid w:val="00C25B42"/>
    <w:rsid w:val="00C26105"/>
    <w:rsid w:val="00C26FF7"/>
    <w:rsid w:val="00C3034C"/>
    <w:rsid w:val="00C328B0"/>
    <w:rsid w:val="00C33298"/>
    <w:rsid w:val="00C35C90"/>
    <w:rsid w:val="00C372A4"/>
    <w:rsid w:val="00C40CB9"/>
    <w:rsid w:val="00C44152"/>
    <w:rsid w:val="00C525EB"/>
    <w:rsid w:val="00C5305F"/>
    <w:rsid w:val="00C5385C"/>
    <w:rsid w:val="00C54148"/>
    <w:rsid w:val="00C63789"/>
    <w:rsid w:val="00C647FC"/>
    <w:rsid w:val="00C66D15"/>
    <w:rsid w:val="00C81BEA"/>
    <w:rsid w:val="00C864F8"/>
    <w:rsid w:val="00C91C22"/>
    <w:rsid w:val="00C93FE0"/>
    <w:rsid w:val="00C964D6"/>
    <w:rsid w:val="00CB0A8E"/>
    <w:rsid w:val="00CB22BE"/>
    <w:rsid w:val="00CB3C40"/>
    <w:rsid w:val="00CC71FC"/>
    <w:rsid w:val="00CD777F"/>
    <w:rsid w:val="00CE01FD"/>
    <w:rsid w:val="00CE0A19"/>
    <w:rsid w:val="00CE261A"/>
    <w:rsid w:val="00CE56B0"/>
    <w:rsid w:val="00CE77FA"/>
    <w:rsid w:val="00CF1996"/>
    <w:rsid w:val="00CF409D"/>
    <w:rsid w:val="00D00569"/>
    <w:rsid w:val="00D06E41"/>
    <w:rsid w:val="00D14039"/>
    <w:rsid w:val="00D145DF"/>
    <w:rsid w:val="00D15D8B"/>
    <w:rsid w:val="00D2353E"/>
    <w:rsid w:val="00D271A2"/>
    <w:rsid w:val="00D3445B"/>
    <w:rsid w:val="00D34E7A"/>
    <w:rsid w:val="00D37B50"/>
    <w:rsid w:val="00D409D8"/>
    <w:rsid w:val="00D42514"/>
    <w:rsid w:val="00D42F69"/>
    <w:rsid w:val="00D44460"/>
    <w:rsid w:val="00D55A04"/>
    <w:rsid w:val="00D6495F"/>
    <w:rsid w:val="00D712E5"/>
    <w:rsid w:val="00D80F64"/>
    <w:rsid w:val="00D82BE8"/>
    <w:rsid w:val="00D8793E"/>
    <w:rsid w:val="00D93AF1"/>
    <w:rsid w:val="00DA160E"/>
    <w:rsid w:val="00DA3246"/>
    <w:rsid w:val="00DA3E36"/>
    <w:rsid w:val="00DA5FB9"/>
    <w:rsid w:val="00DA7C3A"/>
    <w:rsid w:val="00DB27B3"/>
    <w:rsid w:val="00DB4925"/>
    <w:rsid w:val="00DB7BE1"/>
    <w:rsid w:val="00DC1ADB"/>
    <w:rsid w:val="00DC3AF2"/>
    <w:rsid w:val="00DD41A1"/>
    <w:rsid w:val="00DD7FC9"/>
    <w:rsid w:val="00DE6696"/>
    <w:rsid w:val="00DF054F"/>
    <w:rsid w:val="00DF1A87"/>
    <w:rsid w:val="00E02844"/>
    <w:rsid w:val="00E14F6B"/>
    <w:rsid w:val="00E15208"/>
    <w:rsid w:val="00E20659"/>
    <w:rsid w:val="00E2247D"/>
    <w:rsid w:val="00E27088"/>
    <w:rsid w:val="00E3232D"/>
    <w:rsid w:val="00E35253"/>
    <w:rsid w:val="00E40EAA"/>
    <w:rsid w:val="00E433BA"/>
    <w:rsid w:val="00E47D42"/>
    <w:rsid w:val="00E54775"/>
    <w:rsid w:val="00E55288"/>
    <w:rsid w:val="00E571E2"/>
    <w:rsid w:val="00E57CB3"/>
    <w:rsid w:val="00E67EF1"/>
    <w:rsid w:val="00E700D0"/>
    <w:rsid w:val="00E70D2B"/>
    <w:rsid w:val="00E72B96"/>
    <w:rsid w:val="00E75795"/>
    <w:rsid w:val="00E80813"/>
    <w:rsid w:val="00E81253"/>
    <w:rsid w:val="00E82191"/>
    <w:rsid w:val="00E83921"/>
    <w:rsid w:val="00E9157E"/>
    <w:rsid w:val="00E92A66"/>
    <w:rsid w:val="00EA32AC"/>
    <w:rsid w:val="00EA74A2"/>
    <w:rsid w:val="00EA783D"/>
    <w:rsid w:val="00EB0405"/>
    <w:rsid w:val="00EB36F9"/>
    <w:rsid w:val="00EB45A4"/>
    <w:rsid w:val="00EB4C8A"/>
    <w:rsid w:val="00EB639D"/>
    <w:rsid w:val="00ED0284"/>
    <w:rsid w:val="00ED3D6A"/>
    <w:rsid w:val="00ED5F68"/>
    <w:rsid w:val="00EE2974"/>
    <w:rsid w:val="00EF29AD"/>
    <w:rsid w:val="00EF6F06"/>
    <w:rsid w:val="00F0124E"/>
    <w:rsid w:val="00F038F7"/>
    <w:rsid w:val="00F255DC"/>
    <w:rsid w:val="00F2688A"/>
    <w:rsid w:val="00F27117"/>
    <w:rsid w:val="00F276D0"/>
    <w:rsid w:val="00F30DA8"/>
    <w:rsid w:val="00F3336A"/>
    <w:rsid w:val="00F42512"/>
    <w:rsid w:val="00F55C10"/>
    <w:rsid w:val="00F56BC7"/>
    <w:rsid w:val="00F60B48"/>
    <w:rsid w:val="00F642BE"/>
    <w:rsid w:val="00F67B9D"/>
    <w:rsid w:val="00F70CED"/>
    <w:rsid w:val="00F75BE3"/>
    <w:rsid w:val="00F8012D"/>
    <w:rsid w:val="00F835B9"/>
    <w:rsid w:val="00F844A5"/>
    <w:rsid w:val="00F9513F"/>
    <w:rsid w:val="00FA2FF7"/>
    <w:rsid w:val="00FB0AA3"/>
    <w:rsid w:val="00FB7195"/>
    <w:rsid w:val="00FC1414"/>
    <w:rsid w:val="00FC7268"/>
    <w:rsid w:val="00FD09C5"/>
    <w:rsid w:val="00FD4DA1"/>
    <w:rsid w:val="00FE7133"/>
    <w:rsid w:val="00FF125D"/>
    <w:rsid w:val="00FF4262"/>
    <w:rsid w:val="00FF5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F1"/>
    <w:rPr>
      <w:sz w:val="24"/>
      <w:szCs w:val="24"/>
    </w:rPr>
  </w:style>
  <w:style w:type="paragraph" w:styleId="Heading1">
    <w:name w:val="heading 1"/>
    <w:basedOn w:val="Normal"/>
    <w:qFormat/>
    <w:rsid w:val="0064439E"/>
    <w:pPr>
      <w:spacing w:before="100" w:beforeAutospacing="1" w:after="100" w:afterAutospacing="1"/>
      <w:outlineLvl w:val="0"/>
    </w:pPr>
    <w:rPr>
      <w:b/>
      <w:bCs/>
      <w:kern w:val="36"/>
      <w:sz w:val="48"/>
      <w:szCs w:val="48"/>
    </w:rPr>
  </w:style>
  <w:style w:type="paragraph" w:styleId="Heading2">
    <w:name w:val="heading 2"/>
    <w:basedOn w:val="Normal"/>
    <w:qFormat/>
    <w:rsid w:val="0064439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439E"/>
    <w:pPr>
      <w:spacing w:before="100" w:beforeAutospacing="1" w:after="100" w:afterAutospacing="1"/>
    </w:pPr>
  </w:style>
  <w:style w:type="character" w:styleId="Strong">
    <w:name w:val="Strong"/>
    <w:qFormat/>
    <w:rsid w:val="0064439E"/>
    <w:rPr>
      <w:b/>
      <w:bCs/>
    </w:rPr>
  </w:style>
  <w:style w:type="character" w:styleId="Emphasis">
    <w:name w:val="Emphasis"/>
    <w:uiPriority w:val="20"/>
    <w:qFormat/>
    <w:rsid w:val="0064439E"/>
    <w:rPr>
      <w:i/>
      <w:iCs/>
    </w:rPr>
  </w:style>
  <w:style w:type="paragraph" w:customStyle="1" w:styleId="style11">
    <w:name w:val="style11"/>
    <w:basedOn w:val="Normal"/>
    <w:rsid w:val="0064439E"/>
    <w:pPr>
      <w:spacing w:before="100" w:beforeAutospacing="1" w:after="100" w:afterAutospacing="1"/>
    </w:pPr>
  </w:style>
  <w:style w:type="character" w:customStyle="1" w:styleId="style111">
    <w:name w:val="style111"/>
    <w:basedOn w:val="DefaultParagraphFont"/>
    <w:rsid w:val="0064439E"/>
  </w:style>
  <w:style w:type="character" w:styleId="Hyperlink">
    <w:name w:val="Hyperlink"/>
    <w:rsid w:val="0064439E"/>
    <w:rPr>
      <w:color w:val="0000FF"/>
      <w:u w:val="single"/>
    </w:rPr>
  </w:style>
  <w:style w:type="table" w:styleId="TableGrid">
    <w:name w:val="Table Grid"/>
    <w:basedOn w:val="TableNormal"/>
    <w:uiPriority w:val="59"/>
    <w:rsid w:val="00425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rsid w:val="009864BD"/>
    <w:pPr>
      <w:autoSpaceDE w:val="0"/>
      <w:autoSpaceDN w:val="0"/>
      <w:jc w:val="center"/>
    </w:pPr>
    <w:rPr>
      <w:rFonts w:eastAsia="MS Mincho"/>
      <w:smallCaps/>
      <w:sz w:val="16"/>
      <w:szCs w:val="16"/>
    </w:rPr>
  </w:style>
  <w:style w:type="paragraph" w:customStyle="1" w:styleId="JurnalHeading1">
    <w:name w:val="Jurnal Heading 1"/>
    <w:basedOn w:val="Normal"/>
    <w:rsid w:val="009864BD"/>
    <w:pPr>
      <w:widowControl w:val="0"/>
      <w:tabs>
        <w:tab w:val="left" w:pos="284"/>
      </w:tabs>
      <w:suppressAutoHyphens/>
      <w:jc w:val="both"/>
    </w:pPr>
    <w:rPr>
      <w:rFonts w:eastAsia="Arial Unicode MS"/>
      <w:b/>
      <w:kern w:val="1"/>
      <w:sz w:val="20"/>
      <w:szCs w:val="20"/>
      <w:lang w:val="sv-SE"/>
    </w:rPr>
  </w:style>
  <w:style w:type="paragraph" w:styleId="ListParagraph">
    <w:name w:val="List Paragraph"/>
    <w:basedOn w:val="Normal"/>
    <w:qFormat/>
    <w:rsid w:val="00584D43"/>
    <w:pPr>
      <w:spacing w:after="200" w:line="276" w:lineRule="auto"/>
      <w:ind w:left="720"/>
      <w:contextualSpacing/>
    </w:pPr>
    <w:rPr>
      <w:rFonts w:ascii="Calibri" w:eastAsia="MS Mincho" w:hAnsi="Calibri"/>
      <w:sz w:val="22"/>
      <w:szCs w:val="22"/>
    </w:rPr>
  </w:style>
  <w:style w:type="paragraph" w:customStyle="1" w:styleId="-1">
    <w:name w:val="正文-1"/>
    <w:basedOn w:val="Normal"/>
    <w:rsid w:val="0008711A"/>
    <w:pPr>
      <w:widowControl w:val="0"/>
      <w:autoSpaceDE w:val="0"/>
      <w:autoSpaceDN w:val="0"/>
      <w:spacing w:line="288" w:lineRule="auto"/>
      <w:ind w:firstLineChars="220" w:firstLine="220"/>
      <w:jc w:val="both"/>
    </w:pPr>
    <w:rPr>
      <w:rFonts w:eastAsia="SimSun"/>
      <w:sz w:val="21"/>
      <w:szCs w:val="21"/>
      <w:lang w:eastAsia="zh-CN"/>
    </w:rPr>
  </w:style>
  <w:style w:type="paragraph" w:customStyle="1" w:styleId="-10">
    <w:name w:val="标-1"/>
    <w:basedOn w:val="-1"/>
    <w:rsid w:val="0008711A"/>
    <w:pPr>
      <w:spacing w:beforeLines="100" w:afterLines="50"/>
      <w:ind w:firstLineChars="0" w:firstLine="0"/>
      <w:jc w:val="center"/>
    </w:pPr>
    <w:rPr>
      <w:b/>
      <w:bCs/>
    </w:rPr>
  </w:style>
  <w:style w:type="paragraph" w:customStyle="1" w:styleId="-2">
    <w:name w:val="标-2"/>
    <w:basedOn w:val="-10"/>
    <w:rsid w:val="0008711A"/>
    <w:pPr>
      <w:spacing w:beforeLines="50" w:afterLines="20"/>
      <w:jc w:val="left"/>
    </w:pPr>
  </w:style>
  <w:style w:type="paragraph" w:customStyle="1" w:styleId="-11">
    <w:name w:val="参考文献-1"/>
    <w:basedOn w:val="-1"/>
    <w:rsid w:val="0008711A"/>
    <w:pPr>
      <w:spacing w:line="240" w:lineRule="auto"/>
      <w:ind w:left="220" w:hangingChars="220" w:hanging="220"/>
    </w:pPr>
    <w:rPr>
      <w:color w:val="000000"/>
      <w:sz w:val="18"/>
      <w:szCs w:val="18"/>
    </w:rPr>
  </w:style>
  <w:style w:type="paragraph" w:styleId="BalloonText">
    <w:name w:val="Balloon Text"/>
    <w:basedOn w:val="Normal"/>
    <w:link w:val="BalloonTextChar"/>
    <w:rsid w:val="008A25E1"/>
    <w:rPr>
      <w:rFonts w:ascii="Tahoma" w:hAnsi="Tahoma"/>
      <w:sz w:val="16"/>
      <w:szCs w:val="16"/>
    </w:rPr>
  </w:style>
  <w:style w:type="character" w:customStyle="1" w:styleId="BalloonTextChar">
    <w:name w:val="Balloon Text Char"/>
    <w:link w:val="BalloonText"/>
    <w:rsid w:val="008A25E1"/>
    <w:rPr>
      <w:rFonts w:ascii="Tahoma" w:hAnsi="Tahoma" w:cs="Tahoma"/>
      <w:sz w:val="16"/>
      <w:szCs w:val="16"/>
    </w:rPr>
  </w:style>
  <w:style w:type="character" w:customStyle="1" w:styleId="highwire-citation-authors">
    <w:name w:val="highwire-citation-authors"/>
    <w:basedOn w:val="DefaultParagraphFont"/>
    <w:rsid w:val="006E2F8C"/>
  </w:style>
  <w:style w:type="character" w:customStyle="1" w:styleId="highwire-citation-author">
    <w:name w:val="highwire-citation-author"/>
    <w:basedOn w:val="DefaultParagraphFont"/>
    <w:rsid w:val="006E2F8C"/>
  </w:style>
  <w:style w:type="character" w:customStyle="1" w:styleId="nlm-given-names">
    <w:name w:val="nlm-given-names"/>
    <w:basedOn w:val="DefaultParagraphFont"/>
    <w:rsid w:val="006E2F8C"/>
  </w:style>
  <w:style w:type="character" w:customStyle="1" w:styleId="nlm-surname">
    <w:name w:val="nlm-surname"/>
    <w:basedOn w:val="DefaultParagraphFont"/>
    <w:rsid w:val="006E2F8C"/>
  </w:style>
  <w:style w:type="character" w:customStyle="1" w:styleId="highwire-cite-metadata-journal">
    <w:name w:val="highwire-cite-metadata-journal"/>
    <w:basedOn w:val="DefaultParagraphFont"/>
    <w:rsid w:val="006E2F8C"/>
  </w:style>
  <w:style w:type="character" w:customStyle="1" w:styleId="highwire-cite-metadata-date">
    <w:name w:val="highwire-cite-metadata-date"/>
    <w:basedOn w:val="DefaultParagraphFont"/>
    <w:rsid w:val="006E2F8C"/>
  </w:style>
  <w:style w:type="character" w:customStyle="1" w:styleId="highwire-cite-metadata-volume">
    <w:name w:val="highwire-cite-metadata-volume"/>
    <w:basedOn w:val="DefaultParagraphFont"/>
    <w:rsid w:val="006E2F8C"/>
  </w:style>
  <w:style w:type="character" w:customStyle="1" w:styleId="highwire-cite-metadata-issue">
    <w:name w:val="highwire-cite-metadata-issue"/>
    <w:basedOn w:val="DefaultParagraphFont"/>
    <w:rsid w:val="006E2F8C"/>
  </w:style>
  <w:style w:type="character" w:customStyle="1" w:styleId="highwire-cite-metadata-pages">
    <w:name w:val="highwire-cite-metadata-pages"/>
    <w:basedOn w:val="DefaultParagraphFont"/>
    <w:rsid w:val="006E2F8C"/>
  </w:style>
  <w:style w:type="character" w:customStyle="1" w:styleId="highwire-cite-metadata-doi">
    <w:name w:val="highwire-cite-metadata-doi"/>
    <w:basedOn w:val="DefaultParagraphFont"/>
    <w:rsid w:val="006E2F8C"/>
  </w:style>
  <w:style w:type="character" w:customStyle="1" w:styleId="label">
    <w:name w:val="label"/>
    <w:basedOn w:val="DefaultParagraphFont"/>
    <w:rsid w:val="006E2F8C"/>
  </w:style>
  <w:style w:type="paragraph" w:styleId="Header">
    <w:name w:val="header"/>
    <w:basedOn w:val="Normal"/>
    <w:link w:val="HeaderChar"/>
    <w:uiPriority w:val="99"/>
    <w:unhideWhenUsed/>
    <w:rsid w:val="008C2115"/>
    <w:pPr>
      <w:tabs>
        <w:tab w:val="center" w:pos="4680"/>
        <w:tab w:val="right" w:pos="9360"/>
      </w:tabs>
    </w:pPr>
  </w:style>
  <w:style w:type="character" w:customStyle="1" w:styleId="HeaderChar">
    <w:name w:val="Header Char"/>
    <w:basedOn w:val="DefaultParagraphFont"/>
    <w:link w:val="Header"/>
    <w:uiPriority w:val="99"/>
    <w:rsid w:val="008C2115"/>
    <w:rPr>
      <w:sz w:val="24"/>
      <w:szCs w:val="24"/>
    </w:rPr>
  </w:style>
  <w:style w:type="paragraph" w:styleId="Footer">
    <w:name w:val="footer"/>
    <w:basedOn w:val="Normal"/>
    <w:link w:val="FooterChar"/>
    <w:semiHidden/>
    <w:unhideWhenUsed/>
    <w:rsid w:val="008C2115"/>
    <w:pPr>
      <w:tabs>
        <w:tab w:val="center" w:pos="4680"/>
        <w:tab w:val="right" w:pos="9360"/>
      </w:tabs>
    </w:pPr>
  </w:style>
  <w:style w:type="character" w:customStyle="1" w:styleId="FooterChar">
    <w:name w:val="Footer Char"/>
    <w:basedOn w:val="DefaultParagraphFont"/>
    <w:link w:val="Footer"/>
    <w:semiHidden/>
    <w:rsid w:val="008C2115"/>
    <w:rPr>
      <w:sz w:val="24"/>
      <w:szCs w:val="24"/>
    </w:rPr>
  </w:style>
</w:styles>
</file>

<file path=word/webSettings.xml><?xml version="1.0" encoding="utf-8"?>
<w:webSettings xmlns:r="http://schemas.openxmlformats.org/officeDocument/2006/relationships" xmlns:w="http://schemas.openxmlformats.org/wordprocessingml/2006/main">
  <w:divs>
    <w:div w:id="41252450">
      <w:bodyDiv w:val="1"/>
      <w:marLeft w:val="0"/>
      <w:marRight w:val="0"/>
      <w:marTop w:val="0"/>
      <w:marBottom w:val="0"/>
      <w:divBdr>
        <w:top w:val="none" w:sz="0" w:space="0" w:color="auto"/>
        <w:left w:val="none" w:sz="0" w:space="0" w:color="auto"/>
        <w:bottom w:val="none" w:sz="0" w:space="0" w:color="auto"/>
        <w:right w:val="none" w:sz="0" w:space="0" w:color="auto"/>
      </w:divBdr>
      <w:divsChild>
        <w:div w:id="881863269">
          <w:marLeft w:val="0"/>
          <w:marRight w:val="0"/>
          <w:marTop w:val="0"/>
          <w:marBottom w:val="0"/>
          <w:divBdr>
            <w:top w:val="none" w:sz="0" w:space="0" w:color="auto"/>
            <w:left w:val="none" w:sz="0" w:space="0" w:color="auto"/>
            <w:bottom w:val="none" w:sz="0" w:space="0" w:color="auto"/>
            <w:right w:val="none" w:sz="0" w:space="0" w:color="auto"/>
          </w:divBdr>
          <w:divsChild>
            <w:div w:id="162665875">
              <w:marLeft w:val="0"/>
              <w:marRight w:val="0"/>
              <w:marTop w:val="0"/>
              <w:marBottom w:val="0"/>
              <w:divBdr>
                <w:top w:val="none" w:sz="0" w:space="0" w:color="auto"/>
                <w:left w:val="none" w:sz="0" w:space="0" w:color="auto"/>
                <w:bottom w:val="none" w:sz="0" w:space="0" w:color="auto"/>
                <w:right w:val="none" w:sz="0" w:space="0" w:color="auto"/>
              </w:divBdr>
            </w:div>
            <w:div w:id="433718741">
              <w:marLeft w:val="0"/>
              <w:marRight w:val="0"/>
              <w:marTop w:val="0"/>
              <w:marBottom w:val="0"/>
              <w:divBdr>
                <w:top w:val="none" w:sz="0" w:space="0" w:color="auto"/>
                <w:left w:val="none" w:sz="0" w:space="0" w:color="auto"/>
                <w:bottom w:val="none" w:sz="0" w:space="0" w:color="auto"/>
                <w:right w:val="none" w:sz="0" w:space="0" w:color="auto"/>
              </w:divBdr>
            </w:div>
            <w:div w:id="454447460">
              <w:marLeft w:val="0"/>
              <w:marRight w:val="0"/>
              <w:marTop w:val="0"/>
              <w:marBottom w:val="0"/>
              <w:divBdr>
                <w:top w:val="none" w:sz="0" w:space="0" w:color="auto"/>
                <w:left w:val="none" w:sz="0" w:space="0" w:color="auto"/>
                <w:bottom w:val="none" w:sz="0" w:space="0" w:color="auto"/>
                <w:right w:val="none" w:sz="0" w:space="0" w:color="auto"/>
              </w:divBdr>
            </w:div>
            <w:div w:id="1096756047">
              <w:marLeft w:val="0"/>
              <w:marRight w:val="0"/>
              <w:marTop w:val="0"/>
              <w:marBottom w:val="0"/>
              <w:divBdr>
                <w:top w:val="none" w:sz="0" w:space="0" w:color="auto"/>
                <w:left w:val="none" w:sz="0" w:space="0" w:color="auto"/>
                <w:bottom w:val="none" w:sz="0" w:space="0" w:color="auto"/>
                <w:right w:val="none" w:sz="0" w:space="0" w:color="auto"/>
              </w:divBdr>
            </w:div>
            <w:div w:id="1167013484">
              <w:marLeft w:val="0"/>
              <w:marRight w:val="0"/>
              <w:marTop w:val="0"/>
              <w:marBottom w:val="0"/>
              <w:divBdr>
                <w:top w:val="none" w:sz="0" w:space="0" w:color="auto"/>
                <w:left w:val="none" w:sz="0" w:space="0" w:color="auto"/>
                <w:bottom w:val="none" w:sz="0" w:space="0" w:color="auto"/>
                <w:right w:val="none" w:sz="0" w:space="0" w:color="auto"/>
              </w:divBdr>
            </w:div>
            <w:div w:id="1195574954">
              <w:marLeft w:val="0"/>
              <w:marRight w:val="0"/>
              <w:marTop w:val="0"/>
              <w:marBottom w:val="0"/>
              <w:divBdr>
                <w:top w:val="none" w:sz="0" w:space="0" w:color="auto"/>
                <w:left w:val="none" w:sz="0" w:space="0" w:color="auto"/>
                <w:bottom w:val="none" w:sz="0" w:space="0" w:color="auto"/>
                <w:right w:val="none" w:sz="0" w:space="0" w:color="auto"/>
              </w:divBdr>
            </w:div>
            <w:div w:id="1407919664">
              <w:marLeft w:val="0"/>
              <w:marRight w:val="0"/>
              <w:marTop w:val="0"/>
              <w:marBottom w:val="0"/>
              <w:divBdr>
                <w:top w:val="none" w:sz="0" w:space="0" w:color="auto"/>
                <w:left w:val="none" w:sz="0" w:space="0" w:color="auto"/>
                <w:bottom w:val="none" w:sz="0" w:space="0" w:color="auto"/>
                <w:right w:val="none" w:sz="0" w:space="0" w:color="auto"/>
              </w:divBdr>
            </w:div>
            <w:div w:id="1757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843">
      <w:bodyDiv w:val="1"/>
      <w:marLeft w:val="0"/>
      <w:marRight w:val="0"/>
      <w:marTop w:val="0"/>
      <w:marBottom w:val="0"/>
      <w:divBdr>
        <w:top w:val="none" w:sz="0" w:space="0" w:color="auto"/>
        <w:left w:val="none" w:sz="0" w:space="0" w:color="auto"/>
        <w:bottom w:val="none" w:sz="0" w:space="0" w:color="auto"/>
        <w:right w:val="none" w:sz="0" w:space="0" w:color="auto"/>
      </w:divBdr>
    </w:div>
    <w:div w:id="1177043069">
      <w:bodyDiv w:val="1"/>
      <w:marLeft w:val="0"/>
      <w:marRight w:val="0"/>
      <w:marTop w:val="0"/>
      <w:marBottom w:val="0"/>
      <w:divBdr>
        <w:top w:val="none" w:sz="0" w:space="0" w:color="auto"/>
        <w:left w:val="none" w:sz="0" w:space="0" w:color="auto"/>
        <w:bottom w:val="none" w:sz="0" w:space="0" w:color="auto"/>
        <w:right w:val="none" w:sz="0" w:space="0" w:color="auto"/>
      </w:divBdr>
      <w:divsChild>
        <w:div w:id="1570337131">
          <w:marLeft w:val="0"/>
          <w:marRight w:val="0"/>
          <w:marTop w:val="0"/>
          <w:marBottom w:val="0"/>
          <w:divBdr>
            <w:top w:val="none" w:sz="0" w:space="0" w:color="auto"/>
            <w:left w:val="none" w:sz="0" w:space="0" w:color="auto"/>
            <w:bottom w:val="none" w:sz="0" w:space="0" w:color="auto"/>
            <w:right w:val="none" w:sz="0" w:space="0" w:color="auto"/>
          </w:divBdr>
        </w:div>
      </w:divsChild>
    </w:div>
    <w:div w:id="1180199798">
      <w:bodyDiv w:val="1"/>
      <w:marLeft w:val="0"/>
      <w:marRight w:val="0"/>
      <w:marTop w:val="0"/>
      <w:marBottom w:val="0"/>
      <w:divBdr>
        <w:top w:val="none" w:sz="0" w:space="0" w:color="auto"/>
        <w:left w:val="none" w:sz="0" w:space="0" w:color="auto"/>
        <w:bottom w:val="none" w:sz="0" w:space="0" w:color="auto"/>
        <w:right w:val="none" w:sz="0" w:space="0" w:color="auto"/>
      </w:divBdr>
    </w:div>
    <w:div w:id="1222329227">
      <w:bodyDiv w:val="1"/>
      <w:marLeft w:val="0"/>
      <w:marRight w:val="0"/>
      <w:marTop w:val="0"/>
      <w:marBottom w:val="0"/>
      <w:divBdr>
        <w:top w:val="none" w:sz="0" w:space="0" w:color="auto"/>
        <w:left w:val="none" w:sz="0" w:space="0" w:color="auto"/>
        <w:bottom w:val="none" w:sz="0" w:space="0" w:color="auto"/>
        <w:right w:val="none" w:sz="0" w:space="0" w:color="auto"/>
      </w:divBdr>
    </w:div>
    <w:div w:id="1225990988">
      <w:bodyDiv w:val="1"/>
      <w:marLeft w:val="0"/>
      <w:marRight w:val="0"/>
      <w:marTop w:val="0"/>
      <w:marBottom w:val="0"/>
      <w:divBdr>
        <w:top w:val="none" w:sz="0" w:space="0" w:color="auto"/>
        <w:left w:val="none" w:sz="0" w:space="0" w:color="auto"/>
        <w:bottom w:val="none" w:sz="0" w:space="0" w:color="auto"/>
        <w:right w:val="none" w:sz="0" w:space="0" w:color="auto"/>
      </w:divBdr>
      <w:divsChild>
        <w:div w:id="630213505">
          <w:marLeft w:val="0"/>
          <w:marRight w:val="0"/>
          <w:marTop w:val="0"/>
          <w:marBottom w:val="0"/>
          <w:divBdr>
            <w:top w:val="none" w:sz="0" w:space="0" w:color="auto"/>
            <w:left w:val="none" w:sz="0" w:space="0" w:color="auto"/>
            <w:bottom w:val="none" w:sz="0" w:space="0" w:color="auto"/>
            <w:right w:val="none" w:sz="0" w:space="0" w:color="auto"/>
          </w:divBdr>
        </w:div>
        <w:div w:id="697051495">
          <w:marLeft w:val="0"/>
          <w:marRight w:val="0"/>
          <w:marTop w:val="52"/>
          <w:marBottom w:val="52"/>
          <w:divBdr>
            <w:top w:val="none" w:sz="0" w:space="0" w:color="auto"/>
            <w:left w:val="none" w:sz="0" w:space="0" w:color="auto"/>
            <w:bottom w:val="none" w:sz="0" w:space="0" w:color="auto"/>
            <w:right w:val="none" w:sz="0" w:space="0" w:color="auto"/>
          </w:divBdr>
        </w:div>
        <w:div w:id="1814592159">
          <w:marLeft w:val="0"/>
          <w:marRight w:val="0"/>
          <w:marTop w:val="0"/>
          <w:marBottom w:val="0"/>
          <w:divBdr>
            <w:top w:val="none" w:sz="0" w:space="0" w:color="auto"/>
            <w:left w:val="none" w:sz="0" w:space="0" w:color="auto"/>
            <w:bottom w:val="none" w:sz="0" w:space="0" w:color="auto"/>
            <w:right w:val="none" w:sz="0" w:space="0" w:color="auto"/>
          </w:divBdr>
        </w:div>
      </w:divsChild>
    </w:div>
    <w:div w:id="1622759957">
      <w:bodyDiv w:val="1"/>
      <w:marLeft w:val="0"/>
      <w:marRight w:val="0"/>
      <w:marTop w:val="0"/>
      <w:marBottom w:val="0"/>
      <w:divBdr>
        <w:top w:val="none" w:sz="0" w:space="0" w:color="auto"/>
        <w:left w:val="none" w:sz="0" w:space="0" w:color="auto"/>
        <w:bottom w:val="none" w:sz="0" w:space="0" w:color="auto"/>
        <w:right w:val="none" w:sz="0" w:space="0" w:color="auto"/>
      </w:divBdr>
    </w:div>
    <w:div w:id="1865243181">
      <w:bodyDiv w:val="1"/>
      <w:marLeft w:val="0"/>
      <w:marRight w:val="0"/>
      <w:marTop w:val="0"/>
      <w:marBottom w:val="0"/>
      <w:divBdr>
        <w:top w:val="none" w:sz="0" w:space="0" w:color="auto"/>
        <w:left w:val="none" w:sz="0" w:space="0" w:color="auto"/>
        <w:bottom w:val="none" w:sz="0" w:space="0" w:color="auto"/>
        <w:right w:val="none" w:sz="0" w:space="0" w:color="auto"/>
      </w:divBdr>
    </w:div>
    <w:div w:id="2011447444">
      <w:bodyDiv w:val="1"/>
      <w:marLeft w:val="0"/>
      <w:marRight w:val="0"/>
      <w:marTop w:val="0"/>
      <w:marBottom w:val="0"/>
      <w:divBdr>
        <w:top w:val="none" w:sz="0" w:space="0" w:color="auto"/>
        <w:left w:val="none" w:sz="0" w:space="0" w:color="auto"/>
        <w:bottom w:val="none" w:sz="0" w:space="0" w:color="auto"/>
        <w:right w:val="none" w:sz="0" w:space="0" w:color="auto"/>
      </w:divBdr>
    </w:div>
    <w:div w:id="2104452292">
      <w:bodyDiv w:val="1"/>
      <w:marLeft w:val="0"/>
      <w:marRight w:val="0"/>
      <w:marTop w:val="0"/>
      <w:marBottom w:val="0"/>
      <w:divBdr>
        <w:top w:val="none" w:sz="0" w:space="0" w:color="auto"/>
        <w:left w:val="none" w:sz="0" w:space="0" w:color="auto"/>
        <w:bottom w:val="none" w:sz="0" w:space="0" w:color="auto"/>
        <w:right w:val="none" w:sz="0" w:space="0" w:color="auto"/>
      </w:divBdr>
      <w:divsChild>
        <w:div w:id="506671290">
          <w:marLeft w:val="0"/>
          <w:marRight w:val="0"/>
          <w:marTop w:val="0"/>
          <w:marBottom w:val="0"/>
          <w:divBdr>
            <w:top w:val="none" w:sz="0" w:space="0" w:color="auto"/>
            <w:left w:val="none" w:sz="0" w:space="0" w:color="auto"/>
            <w:bottom w:val="none" w:sz="0" w:space="0" w:color="auto"/>
            <w:right w:val="none" w:sz="0" w:space="0" w:color="auto"/>
          </w:divBdr>
        </w:div>
        <w:div w:id="165637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wardika\Desktop\sentrnov\GE%20windTurb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b="0"/>
            </a:pPr>
            <a:r>
              <a:rPr lang="id-ID" sz="1200" b="0">
                <a:latin typeface="Times New Roman" pitchFamily="18" charset="0"/>
                <a:cs typeface="Times New Roman" pitchFamily="18" charset="0"/>
              </a:rPr>
              <a:t>Kurva-Daya </a:t>
            </a:r>
            <a:r>
              <a:rPr lang="id-ID" sz="1200" b="0" i="0" u="none" strike="noStrike" kern="1200" baseline="0">
                <a:solidFill>
                  <a:sysClr val="windowText" lastClr="000000"/>
                </a:solidFill>
                <a:latin typeface="Times New Roman" pitchFamily="18" charset="0"/>
                <a:ea typeface="+mn-ea"/>
                <a:cs typeface="Times New Roman" pitchFamily="18" charset="0"/>
              </a:rPr>
              <a:t>GE 1.5s/3.4-137 Model</a:t>
            </a:r>
            <a:endParaRPr lang="en-US" sz="1200" b="0" i="0" u="none" strike="noStrike" kern="1200" baseline="0">
              <a:solidFill>
                <a:sysClr val="windowText" lastClr="000000"/>
              </a:solidFill>
              <a:latin typeface="Times New Roman" pitchFamily="18" charset="0"/>
              <a:ea typeface="+mn-ea"/>
              <a:cs typeface="Times New Roman" pitchFamily="18" charset="0"/>
            </a:endParaRPr>
          </a:p>
        </c:rich>
      </c:tx>
      <c:layout>
        <c:manualLayout>
          <c:xMode val="edge"/>
          <c:yMode val="edge"/>
          <c:x val="0.2984210286270278"/>
          <c:y val="6.0034629858478836E-2"/>
        </c:manualLayout>
      </c:layout>
    </c:title>
    <c:plotArea>
      <c:layout>
        <c:manualLayout>
          <c:layoutTarget val="inner"/>
          <c:xMode val="edge"/>
          <c:yMode val="edge"/>
          <c:x val="0.13348072231711777"/>
          <c:y val="0.15125851500533344"/>
          <c:w val="0.83685173788637346"/>
          <c:h val="0.66375790825294945"/>
        </c:manualLayout>
      </c:layout>
      <c:lineChart>
        <c:grouping val="stacked"/>
        <c:ser>
          <c:idx val="0"/>
          <c:order val="1"/>
          <c:tx>
            <c:strRef>
              <c:f>Sheet2!$C$1</c:f>
              <c:strCache>
                <c:ptCount val="1"/>
                <c:pt idx="0">
                  <c:v>GE 1.5s Model</c:v>
                </c:pt>
              </c:strCache>
            </c:strRef>
          </c:tx>
          <c:spPr>
            <a:ln w="19050">
              <a:solidFill>
                <a:schemeClr val="tx1"/>
              </a:solidFill>
            </a:ln>
          </c:spPr>
          <c:marker>
            <c:symbol val="circle"/>
            <c:size val="4"/>
            <c:spPr>
              <a:solidFill>
                <a:schemeClr val="tx1"/>
              </a:solidFill>
              <a:ln>
                <a:noFill/>
              </a:ln>
            </c:spPr>
          </c:marker>
          <c:cat>
            <c:numRef>
              <c:f>Sheet2!$B$2:$B$28</c:f>
              <c:numCache>
                <c:formatCode>0.00</c:formatCode>
                <c:ptCount val="27"/>
                <c:pt idx="0">
                  <c:v>3</c:v>
                </c:pt>
                <c:pt idx="1">
                  <c:v>3.5</c:v>
                </c:pt>
                <c:pt idx="2">
                  <c:v>4</c:v>
                </c:pt>
                <c:pt idx="3">
                  <c:v>4.5</c:v>
                </c:pt>
                <c:pt idx="4">
                  <c:v>5</c:v>
                </c:pt>
                <c:pt idx="5">
                  <c:v>5.5</c:v>
                </c:pt>
                <c:pt idx="6">
                  <c:v>6</c:v>
                </c:pt>
                <c:pt idx="7">
                  <c:v>6.5</c:v>
                </c:pt>
                <c:pt idx="8">
                  <c:v>7</c:v>
                </c:pt>
                <c:pt idx="9">
                  <c:v>7.5</c:v>
                </c:pt>
                <c:pt idx="10">
                  <c:v>8</c:v>
                </c:pt>
                <c:pt idx="11">
                  <c:v>8.5</c:v>
                </c:pt>
                <c:pt idx="12">
                  <c:v>9</c:v>
                </c:pt>
                <c:pt idx="13">
                  <c:v>9.5</c:v>
                </c:pt>
                <c:pt idx="14">
                  <c:v>10</c:v>
                </c:pt>
                <c:pt idx="15">
                  <c:v>10.5</c:v>
                </c:pt>
                <c:pt idx="16">
                  <c:v>11</c:v>
                </c:pt>
                <c:pt idx="17">
                  <c:v>11.5</c:v>
                </c:pt>
                <c:pt idx="18">
                  <c:v>12</c:v>
                </c:pt>
                <c:pt idx="19">
                  <c:v>12.5</c:v>
                </c:pt>
                <c:pt idx="20">
                  <c:v>13</c:v>
                </c:pt>
                <c:pt idx="21">
                  <c:v>13.5</c:v>
                </c:pt>
                <c:pt idx="22">
                  <c:v>14</c:v>
                </c:pt>
                <c:pt idx="23">
                  <c:v>14.5</c:v>
                </c:pt>
                <c:pt idx="24">
                  <c:v>15</c:v>
                </c:pt>
                <c:pt idx="25">
                  <c:v>15.5</c:v>
                </c:pt>
                <c:pt idx="26">
                  <c:v>16</c:v>
                </c:pt>
              </c:numCache>
            </c:numRef>
          </c:cat>
          <c:val>
            <c:numRef>
              <c:f>Sheet2!$C$2:$C$28</c:f>
              <c:numCache>
                <c:formatCode>0.00</c:formatCode>
                <c:ptCount val="27"/>
                <c:pt idx="0">
                  <c:v>0</c:v>
                </c:pt>
                <c:pt idx="1">
                  <c:v>0</c:v>
                </c:pt>
                <c:pt idx="2">
                  <c:v>38.5</c:v>
                </c:pt>
                <c:pt idx="3">
                  <c:v>66</c:v>
                </c:pt>
                <c:pt idx="4">
                  <c:v>104</c:v>
                </c:pt>
                <c:pt idx="5">
                  <c:v>150</c:v>
                </c:pt>
                <c:pt idx="6">
                  <c:v>205</c:v>
                </c:pt>
                <c:pt idx="7">
                  <c:v>269</c:v>
                </c:pt>
                <c:pt idx="8">
                  <c:v>344</c:v>
                </c:pt>
                <c:pt idx="9">
                  <c:v>428</c:v>
                </c:pt>
                <c:pt idx="10">
                  <c:v>528</c:v>
                </c:pt>
                <c:pt idx="11">
                  <c:v>644</c:v>
                </c:pt>
                <c:pt idx="12">
                  <c:v>774</c:v>
                </c:pt>
                <c:pt idx="13">
                  <c:v>926.5</c:v>
                </c:pt>
                <c:pt idx="14">
                  <c:v>1079</c:v>
                </c:pt>
                <c:pt idx="15">
                  <c:v>1211</c:v>
                </c:pt>
                <c:pt idx="16">
                  <c:v>1342</c:v>
                </c:pt>
                <c:pt idx="17">
                  <c:v>1401</c:v>
                </c:pt>
                <c:pt idx="18">
                  <c:v>1460</c:v>
                </c:pt>
                <c:pt idx="19">
                  <c:v>1477</c:v>
                </c:pt>
                <c:pt idx="20">
                  <c:v>1494</c:v>
                </c:pt>
                <c:pt idx="21">
                  <c:v>1500</c:v>
                </c:pt>
                <c:pt idx="22">
                  <c:v>1500</c:v>
                </c:pt>
                <c:pt idx="23">
                  <c:v>1500</c:v>
                </c:pt>
                <c:pt idx="24">
                  <c:v>1500</c:v>
                </c:pt>
                <c:pt idx="25">
                  <c:v>1500</c:v>
                </c:pt>
                <c:pt idx="26">
                  <c:v>1500</c:v>
                </c:pt>
              </c:numCache>
            </c:numRef>
          </c:val>
          <c:smooth val="1"/>
        </c:ser>
        <c:marker val="1"/>
        <c:axId val="73869952"/>
        <c:axId val="74335360"/>
      </c:lineChart>
      <c:lineChart>
        <c:grouping val="stacked"/>
        <c:ser>
          <c:idx val="1"/>
          <c:order val="0"/>
          <c:tx>
            <c:strRef>
              <c:f>Sheet2!$D$1</c:f>
              <c:strCache>
                <c:ptCount val="1"/>
                <c:pt idx="0">
                  <c:v>GE 3.4-137 Model</c:v>
                </c:pt>
              </c:strCache>
            </c:strRef>
          </c:tx>
          <c:spPr>
            <a:ln w="19050">
              <a:solidFill>
                <a:schemeClr val="tx1"/>
              </a:solidFill>
            </a:ln>
          </c:spPr>
          <c:marker>
            <c:symbol val="square"/>
            <c:size val="4"/>
            <c:spPr>
              <a:solidFill>
                <a:sysClr val="windowText" lastClr="000000"/>
              </a:solidFill>
              <a:ln>
                <a:noFill/>
              </a:ln>
            </c:spPr>
          </c:marker>
          <c:cat>
            <c:numRef>
              <c:f>Sheet2!$B$2:$B$28</c:f>
              <c:numCache>
                <c:formatCode>0.00</c:formatCode>
                <c:ptCount val="27"/>
                <c:pt idx="0">
                  <c:v>3</c:v>
                </c:pt>
                <c:pt idx="1">
                  <c:v>3.5</c:v>
                </c:pt>
                <c:pt idx="2">
                  <c:v>4</c:v>
                </c:pt>
                <c:pt idx="3">
                  <c:v>4.5</c:v>
                </c:pt>
                <c:pt idx="4">
                  <c:v>5</c:v>
                </c:pt>
                <c:pt idx="5">
                  <c:v>5.5</c:v>
                </c:pt>
                <c:pt idx="6">
                  <c:v>6</c:v>
                </c:pt>
                <c:pt idx="7">
                  <c:v>6.5</c:v>
                </c:pt>
                <c:pt idx="8">
                  <c:v>7</c:v>
                </c:pt>
                <c:pt idx="9">
                  <c:v>7.5</c:v>
                </c:pt>
                <c:pt idx="10">
                  <c:v>8</c:v>
                </c:pt>
                <c:pt idx="11">
                  <c:v>8.5</c:v>
                </c:pt>
                <c:pt idx="12">
                  <c:v>9</c:v>
                </c:pt>
                <c:pt idx="13">
                  <c:v>9.5</c:v>
                </c:pt>
                <c:pt idx="14">
                  <c:v>10</c:v>
                </c:pt>
                <c:pt idx="15">
                  <c:v>10.5</c:v>
                </c:pt>
                <c:pt idx="16">
                  <c:v>11</c:v>
                </c:pt>
                <c:pt idx="17">
                  <c:v>11.5</c:v>
                </c:pt>
                <c:pt idx="18">
                  <c:v>12</c:v>
                </c:pt>
                <c:pt idx="19">
                  <c:v>12.5</c:v>
                </c:pt>
                <c:pt idx="20">
                  <c:v>13</c:v>
                </c:pt>
                <c:pt idx="21">
                  <c:v>13.5</c:v>
                </c:pt>
                <c:pt idx="22">
                  <c:v>14</c:v>
                </c:pt>
                <c:pt idx="23">
                  <c:v>14.5</c:v>
                </c:pt>
                <c:pt idx="24">
                  <c:v>15</c:v>
                </c:pt>
                <c:pt idx="25">
                  <c:v>15.5</c:v>
                </c:pt>
                <c:pt idx="26">
                  <c:v>16</c:v>
                </c:pt>
              </c:numCache>
            </c:numRef>
          </c:cat>
          <c:val>
            <c:numRef>
              <c:f>Sheet2!$D$2:$D$28</c:f>
              <c:numCache>
                <c:formatCode>0.00</c:formatCode>
                <c:ptCount val="27"/>
                <c:pt idx="0">
                  <c:v>54</c:v>
                </c:pt>
                <c:pt idx="1">
                  <c:v>138</c:v>
                </c:pt>
                <c:pt idx="2">
                  <c:v>234</c:v>
                </c:pt>
                <c:pt idx="3">
                  <c:v>352</c:v>
                </c:pt>
                <c:pt idx="4">
                  <c:v>497</c:v>
                </c:pt>
                <c:pt idx="5">
                  <c:v>672</c:v>
                </c:pt>
                <c:pt idx="6">
                  <c:v>880</c:v>
                </c:pt>
                <c:pt idx="7">
                  <c:v>1124</c:v>
                </c:pt>
                <c:pt idx="8">
                  <c:v>1407</c:v>
                </c:pt>
                <c:pt idx="9">
                  <c:v>1721</c:v>
                </c:pt>
                <c:pt idx="10">
                  <c:v>2060</c:v>
                </c:pt>
                <c:pt idx="11">
                  <c:v>2401</c:v>
                </c:pt>
                <c:pt idx="12">
                  <c:v>2709</c:v>
                </c:pt>
                <c:pt idx="13">
                  <c:v>2971</c:v>
                </c:pt>
                <c:pt idx="14">
                  <c:v>3156</c:v>
                </c:pt>
                <c:pt idx="15">
                  <c:v>3285</c:v>
                </c:pt>
                <c:pt idx="16">
                  <c:v>3368</c:v>
                </c:pt>
                <c:pt idx="17">
                  <c:v>3406</c:v>
                </c:pt>
                <c:pt idx="18">
                  <c:v>3421</c:v>
                </c:pt>
                <c:pt idx="19">
                  <c:v>3427</c:v>
                </c:pt>
                <c:pt idx="20">
                  <c:v>3430</c:v>
                </c:pt>
                <c:pt idx="21">
                  <c:v>3430</c:v>
                </c:pt>
                <c:pt idx="22">
                  <c:v>3430</c:v>
                </c:pt>
                <c:pt idx="23">
                  <c:v>3430</c:v>
                </c:pt>
                <c:pt idx="24">
                  <c:v>3430</c:v>
                </c:pt>
                <c:pt idx="25">
                  <c:v>3430</c:v>
                </c:pt>
                <c:pt idx="26">
                  <c:v>3430</c:v>
                </c:pt>
              </c:numCache>
            </c:numRef>
          </c:val>
        </c:ser>
        <c:marker val="1"/>
        <c:axId val="90152960"/>
        <c:axId val="74337280"/>
      </c:lineChart>
      <c:catAx>
        <c:axId val="73869952"/>
        <c:scaling>
          <c:orientation val="minMax"/>
        </c:scaling>
        <c:axPos val="b"/>
        <c:majorGridlines/>
        <c:title>
          <c:tx>
            <c:rich>
              <a:bodyPr/>
              <a:lstStyle/>
              <a:p>
                <a:pPr>
                  <a:defRPr/>
                </a:pPr>
                <a:r>
                  <a:rPr lang="id-ID" sz="1200" b="0">
                    <a:latin typeface="Times New Roman" pitchFamily="18" charset="0"/>
                    <a:cs typeface="Times New Roman" pitchFamily="18" charset="0"/>
                  </a:rPr>
                  <a:t>Kecepatan Angin</a:t>
                </a:r>
                <a:r>
                  <a:rPr lang="id-ID" sz="1200" b="0" baseline="0">
                    <a:latin typeface="Times New Roman" pitchFamily="18" charset="0"/>
                    <a:cs typeface="Times New Roman" pitchFamily="18" charset="0"/>
                  </a:rPr>
                  <a:t> (m/s)</a:t>
                </a:r>
                <a:endParaRPr lang="en-US" sz="1200" b="0">
                  <a:latin typeface="Times New Roman" pitchFamily="18" charset="0"/>
                  <a:cs typeface="Times New Roman" pitchFamily="18" charset="0"/>
                </a:endParaRPr>
              </a:p>
            </c:rich>
          </c:tx>
          <c:layout>
            <c:manualLayout>
              <c:xMode val="edge"/>
              <c:yMode val="edge"/>
              <c:x val="0.41197172101596324"/>
              <c:y val="0.89374582279402415"/>
            </c:manualLayout>
          </c:layout>
        </c:title>
        <c:numFmt formatCode="General" sourceLinked="0"/>
        <c:minorTickMark val="out"/>
        <c:tickLblPos val="nextTo"/>
        <c:spPr>
          <a:noFill/>
          <a:ln>
            <a:solidFill>
              <a:schemeClr val="tx1"/>
            </a:solidFill>
          </a:ln>
        </c:spPr>
        <c:txPr>
          <a:bodyPr/>
          <a:lstStyle/>
          <a:p>
            <a:pPr>
              <a:defRPr sz="1000">
                <a:latin typeface="Times New Roman" pitchFamily="18" charset="0"/>
                <a:cs typeface="Times New Roman" pitchFamily="18" charset="0"/>
              </a:defRPr>
            </a:pPr>
            <a:endParaRPr lang="en-US"/>
          </a:p>
        </c:txPr>
        <c:crossAx val="74335360"/>
        <c:crosses val="autoZero"/>
        <c:auto val="1"/>
        <c:lblAlgn val="ctr"/>
        <c:lblOffset val="100"/>
        <c:tickLblSkip val="2"/>
        <c:tickMarkSkip val="1"/>
      </c:catAx>
      <c:valAx>
        <c:axId val="74335360"/>
        <c:scaling>
          <c:orientation val="minMax"/>
          <c:max val="5000"/>
          <c:min val="0"/>
        </c:scaling>
        <c:axPos val="l"/>
        <c:majorGridlines/>
        <c:title>
          <c:tx>
            <c:rich>
              <a:bodyPr rot="-5400000" vert="horz"/>
              <a:lstStyle/>
              <a:p>
                <a:pPr>
                  <a:defRPr/>
                </a:pPr>
                <a:r>
                  <a:rPr lang="id-ID" sz="1200" b="0">
                    <a:latin typeface="Times New Roman" pitchFamily="18" charset="0"/>
                    <a:cs typeface="Times New Roman" pitchFamily="18" charset="0"/>
                  </a:rPr>
                  <a:t>Daya </a:t>
                </a:r>
                <a:r>
                  <a:rPr lang="id-ID" sz="1200" b="0" baseline="0">
                    <a:latin typeface="Times New Roman" pitchFamily="18" charset="0"/>
                    <a:cs typeface="Times New Roman" pitchFamily="18" charset="0"/>
                  </a:rPr>
                  <a:t>(kW)</a:t>
                </a:r>
                <a:endParaRPr lang="en-US" sz="1200" b="0">
                  <a:latin typeface="Times New Roman" pitchFamily="18" charset="0"/>
                  <a:cs typeface="Times New Roman" pitchFamily="18" charset="0"/>
                </a:endParaRPr>
              </a:p>
            </c:rich>
          </c:tx>
          <c:layout>
            <c:manualLayout>
              <c:xMode val="edge"/>
              <c:yMode val="edge"/>
              <c:x val="4.6811361086104095E-3"/>
              <c:y val="0.35103443154383485"/>
            </c:manualLayout>
          </c:layout>
        </c:title>
        <c:numFmt formatCode="General" sourceLinked="0"/>
        <c:minorTickMark val="out"/>
        <c:tickLblPos val="nextTo"/>
        <c:spPr>
          <a:ln w="12700">
            <a:solidFill>
              <a:schemeClr val="tx1"/>
            </a:solidFill>
          </a:ln>
        </c:spPr>
        <c:txPr>
          <a:bodyPr/>
          <a:lstStyle/>
          <a:p>
            <a:pPr>
              <a:defRPr sz="1000" b="0" i="0" baseline="0">
                <a:latin typeface="Times New Roman" pitchFamily="18" charset="0"/>
                <a:cs typeface="Times New Roman" pitchFamily="18" charset="0"/>
              </a:defRPr>
            </a:pPr>
            <a:endParaRPr lang="en-US"/>
          </a:p>
        </c:txPr>
        <c:crossAx val="73869952"/>
        <c:crosses val="autoZero"/>
        <c:crossBetween val="between"/>
        <c:majorUnit val="1000"/>
      </c:valAx>
      <c:valAx>
        <c:axId val="74337280"/>
        <c:scaling>
          <c:orientation val="minMax"/>
          <c:max val="5000"/>
          <c:min val="0"/>
        </c:scaling>
        <c:delete val="1"/>
        <c:axPos val="r"/>
        <c:numFmt formatCode="0.00" sourceLinked="1"/>
        <c:tickLblPos val="none"/>
        <c:crossAx val="90152960"/>
        <c:crosses val="max"/>
        <c:crossBetween val="between"/>
      </c:valAx>
      <c:catAx>
        <c:axId val="90152960"/>
        <c:scaling>
          <c:orientation val="minMax"/>
        </c:scaling>
        <c:delete val="1"/>
        <c:axPos val="b"/>
        <c:numFmt formatCode="0.00" sourceLinked="1"/>
        <c:tickLblPos val="none"/>
        <c:crossAx val="74337280"/>
        <c:crosses val="autoZero"/>
        <c:auto val="1"/>
        <c:lblAlgn val="ctr"/>
        <c:lblOffset val="100"/>
      </c:catAx>
      <c:spPr>
        <a:noFill/>
      </c:spPr>
    </c:plotArea>
    <c:legend>
      <c:legendPos val="r"/>
      <c:layout>
        <c:manualLayout>
          <c:xMode val="edge"/>
          <c:yMode val="edge"/>
          <c:x val="0.20043505611595874"/>
          <c:y val="0.32780732606370211"/>
          <c:w val="0.24006332541765621"/>
          <c:h val="0.15487143757976518"/>
        </c:manualLayout>
      </c:layout>
      <c:spPr>
        <a:solidFill>
          <a:schemeClr val="bg1"/>
        </a:solidFill>
      </c:spPr>
      <c:txPr>
        <a:bodyPr/>
        <a:lstStyle/>
        <a:p>
          <a:pPr>
            <a:defRPr sz="9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13</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Pedoman Penulisan Artikel</vt:lpstr>
    </vt:vector>
  </TitlesOfParts>
  <Company/>
  <LinksUpToDate>false</LinksUpToDate>
  <CharactersWithSpaces>24422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Penulisan Artikel</dc:title>
  <dc:creator>swardika</dc:creator>
  <cp:lastModifiedBy>swardika</cp:lastModifiedBy>
  <cp:revision>340</cp:revision>
  <cp:lastPrinted>2018-07-17T02:07:00Z</cp:lastPrinted>
  <dcterms:created xsi:type="dcterms:W3CDTF">2018-07-12T04:25:00Z</dcterms:created>
  <dcterms:modified xsi:type="dcterms:W3CDTF">2018-07-17T02:11:00Z</dcterms:modified>
</cp:coreProperties>
</file>